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A960" w14:textId="3EB693A0" w:rsidR="00B24381" w:rsidRDefault="00B24381">
      <w:pPr>
        <w:pStyle w:val="Title"/>
        <w:spacing w:line="240" w:lineRule="auto"/>
        <w:rPr>
          <w:sz w:val="32"/>
          <w:szCs w:val="32"/>
        </w:rPr>
      </w:pPr>
    </w:p>
    <w:p w14:paraId="503BA961" w14:textId="77777777" w:rsidR="00B24381" w:rsidRDefault="00EB3580">
      <w:pPr>
        <w:pStyle w:val="Title"/>
        <w:spacing w:line="240" w:lineRule="auto"/>
        <w:jc w:val="center"/>
        <w:rPr>
          <w:sz w:val="32"/>
          <w:szCs w:val="32"/>
        </w:rPr>
      </w:pPr>
      <w:r>
        <w:rPr>
          <w:sz w:val="32"/>
          <w:szCs w:val="32"/>
        </w:rPr>
        <w:t>Virginia Essentialized Standards of Learning (VESOL)</w:t>
      </w:r>
    </w:p>
    <w:p w14:paraId="503BA962" w14:textId="7D4A3CAF" w:rsidR="00B24381" w:rsidRDefault="00EB3580">
      <w:pPr>
        <w:pStyle w:val="Title"/>
        <w:spacing w:after="0" w:line="240" w:lineRule="auto"/>
        <w:jc w:val="center"/>
        <w:rPr>
          <w:sz w:val="32"/>
          <w:szCs w:val="32"/>
        </w:rPr>
      </w:pPr>
      <w:r>
        <w:rPr>
          <w:sz w:val="32"/>
          <w:szCs w:val="32"/>
        </w:rPr>
        <w:t xml:space="preserve"> Mathematics Instruction Resource</w:t>
      </w:r>
      <w:r w:rsidR="00251762">
        <w:rPr>
          <w:sz w:val="32"/>
          <w:szCs w:val="32"/>
        </w:rPr>
        <w:t>s</w:t>
      </w:r>
    </w:p>
    <w:p w14:paraId="503BA963" w14:textId="77777777" w:rsidR="00B24381" w:rsidRDefault="00B24381"/>
    <w:p w14:paraId="503BA964" w14:textId="238D2338" w:rsidR="00B24381" w:rsidRDefault="00EB3580">
      <w:pPr>
        <w:spacing w:after="240"/>
        <w:rPr>
          <w:sz w:val="24"/>
          <w:szCs w:val="24"/>
        </w:rPr>
      </w:pPr>
      <w:r>
        <w:rPr>
          <w:sz w:val="24"/>
          <w:szCs w:val="24"/>
        </w:rPr>
        <w:t xml:space="preserve">Teachers providing VESOL mathematics instruction should consult the Virginia Department of Education (VDOE) </w:t>
      </w:r>
      <w:hyperlink r:id="rId11">
        <w:r w:rsidRPr="008D191B">
          <w:rPr>
            <w:color w:val="1155CC"/>
            <w:sz w:val="24"/>
            <w:szCs w:val="24"/>
            <w:u w:val="single"/>
          </w:rPr>
          <w:t>Mathematics Standards of Learning</w:t>
        </w:r>
      </w:hyperlink>
      <w:r>
        <w:rPr>
          <w:sz w:val="24"/>
          <w:szCs w:val="24"/>
        </w:rPr>
        <w:t xml:space="preserve">,  </w:t>
      </w:r>
      <w:hyperlink r:id="rId12" w:history="1">
        <w:r w:rsidRPr="00C2770B">
          <w:rPr>
            <w:rStyle w:val="Hyperlink"/>
            <w:sz w:val="24"/>
            <w:szCs w:val="24"/>
          </w:rPr>
          <w:t>Learning Disabilities in Mathematics</w:t>
        </w:r>
      </w:hyperlink>
      <w:r>
        <w:rPr>
          <w:sz w:val="24"/>
          <w:szCs w:val="24"/>
        </w:rPr>
        <w:t>, an</w:t>
      </w:r>
      <w:r w:rsidR="00C2770B">
        <w:rPr>
          <w:sz w:val="24"/>
          <w:szCs w:val="24"/>
        </w:rPr>
        <w:t xml:space="preserve">d </w:t>
      </w:r>
      <w:hyperlink r:id="rId13" w:history="1">
        <w:r w:rsidR="00C2770B" w:rsidRPr="00C2770B">
          <w:rPr>
            <w:rStyle w:val="Hyperlink"/>
            <w:sz w:val="24"/>
            <w:szCs w:val="24"/>
          </w:rPr>
          <w:t>Mathematics Instruction Resources</w:t>
        </w:r>
      </w:hyperlink>
      <w:r w:rsidR="00C2770B">
        <w:rPr>
          <w:sz w:val="24"/>
          <w:szCs w:val="24"/>
        </w:rPr>
        <w:t xml:space="preserve"> </w:t>
      </w:r>
      <w:r>
        <w:rPr>
          <w:sz w:val="24"/>
          <w:szCs w:val="24"/>
        </w:rPr>
        <w:t>for up-to-date mathematics instruction resources.</w:t>
      </w:r>
    </w:p>
    <w:p w14:paraId="503BA965" w14:textId="77777777" w:rsidR="00B24381" w:rsidRDefault="00EB3580">
      <w:pPr>
        <w:pStyle w:val="Heading1"/>
      </w:pPr>
      <w:r>
        <w:rPr>
          <w:b/>
          <w:sz w:val="24"/>
          <w:szCs w:val="24"/>
        </w:rPr>
        <w:t>VDOE Mathematics Instruction Resources spotlighted to support VESOL instruction include</w:t>
      </w:r>
      <w:r>
        <w:t>:</w:t>
      </w:r>
    </w:p>
    <w:p w14:paraId="503BA966" w14:textId="340E6EEE" w:rsidR="00B24381" w:rsidRDefault="00C2770B">
      <w:pPr>
        <w:numPr>
          <w:ilvl w:val="0"/>
          <w:numId w:val="3"/>
        </w:numPr>
        <w:pBdr>
          <w:top w:val="none" w:sz="0" w:space="0" w:color="000000"/>
          <w:bottom w:val="none" w:sz="0" w:space="0" w:color="000000"/>
          <w:right w:val="none" w:sz="0" w:space="0" w:color="000000"/>
          <w:between w:val="none" w:sz="0" w:space="0" w:color="000000"/>
        </w:pBdr>
        <w:spacing w:after="200" w:line="240" w:lineRule="auto"/>
        <w:rPr>
          <w:sz w:val="24"/>
          <w:szCs w:val="24"/>
        </w:rPr>
      </w:pPr>
      <w:hyperlink r:id="rId14" w:history="1">
        <w:r w:rsidR="00EB3580" w:rsidRPr="00C2770B">
          <w:rPr>
            <w:rStyle w:val="Hyperlink"/>
            <w:sz w:val="24"/>
            <w:szCs w:val="24"/>
          </w:rPr>
          <w:t>Mathematics Vertical Articulation Tool (MVAT)</w:t>
        </w:r>
      </w:hyperlink>
      <w:r w:rsidR="00EB3580">
        <w:rPr>
          <w:sz w:val="24"/>
          <w:szCs w:val="24"/>
        </w:rPr>
        <w:t xml:space="preserve"> – This tool provides support in identifying concepts aligned to the 2016 </w:t>
      </w:r>
      <w:r w:rsidR="00EB3580">
        <w:rPr>
          <w:i/>
          <w:sz w:val="24"/>
          <w:szCs w:val="24"/>
        </w:rPr>
        <w:t xml:space="preserve">Mathematics Standards of Learning </w:t>
      </w:r>
      <w:r w:rsidR="00EB3580">
        <w:rPr>
          <w:sz w:val="24"/>
          <w:szCs w:val="24"/>
        </w:rPr>
        <w:t>(SOL) that articulate across mathematics grade levels or courses.</w:t>
      </w:r>
    </w:p>
    <w:p w14:paraId="1A85C3A4" w14:textId="35835F6B" w:rsidR="008D191B" w:rsidRPr="008D191B" w:rsidRDefault="00262963">
      <w:pPr>
        <w:numPr>
          <w:ilvl w:val="0"/>
          <w:numId w:val="3"/>
        </w:numPr>
        <w:pBdr>
          <w:top w:val="none" w:sz="0" w:space="0" w:color="000000"/>
          <w:bottom w:val="none" w:sz="0" w:space="0" w:color="000000"/>
          <w:right w:val="none" w:sz="0" w:space="0" w:color="000000"/>
          <w:between w:val="none" w:sz="0" w:space="0" w:color="000000"/>
        </w:pBdr>
        <w:spacing w:after="200" w:line="240" w:lineRule="auto"/>
        <w:rPr>
          <w:sz w:val="24"/>
          <w:szCs w:val="24"/>
        </w:rPr>
      </w:pPr>
      <w:hyperlink r:id="rId15" w:history="1">
        <w:r w:rsidR="008D191B" w:rsidRPr="001610B2">
          <w:rPr>
            <w:color w:val="1155CC"/>
            <w:sz w:val="24"/>
            <w:szCs w:val="24"/>
            <w:u w:val="single"/>
          </w:rPr>
          <w:t>Mathematics Vertical Articulation Grades 3 – HS</w:t>
        </w:r>
        <w:r w:rsidR="008D191B" w:rsidRPr="001610B2">
          <w:rPr>
            <w:color w:val="1155CC"/>
            <w:sz w:val="24"/>
            <w:szCs w:val="24"/>
            <w:u w:val="single"/>
          </w:rPr>
          <w:t xml:space="preserve"> </w:t>
        </w:r>
        <w:r w:rsidR="008D191B" w:rsidRPr="001610B2">
          <w:rPr>
            <w:color w:val="1155CC"/>
            <w:sz w:val="24"/>
            <w:szCs w:val="24"/>
            <w:u w:val="single"/>
          </w:rPr>
          <w:t>VESOL by Strand Concepts</w:t>
        </w:r>
      </w:hyperlink>
      <w:r w:rsidR="008D191B" w:rsidRPr="008D191B">
        <w:rPr>
          <w:sz w:val="24"/>
          <w:szCs w:val="24"/>
        </w:rPr>
        <w:t xml:space="preserve"> - Adapted from the Mathematics Vertical Articulation Tool (MVAT), this tool identifies VESOL's and their corresponding SOL's that articulate across grade-levels.</w:t>
      </w:r>
    </w:p>
    <w:p w14:paraId="503BA967" w14:textId="3AE45AD3" w:rsidR="00B24381" w:rsidRDefault="00C2770B">
      <w:pPr>
        <w:numPr>
          <w:ilvl w:val="0"/>
          <w:numId w:val="3"/>
        </w:numPr>
        <w:pBdr>
          <w:top w:val="none" w:sz="0" w:space="0" w:color="000000"/>
          <w:bottom w:val="none" w:sz="0" w:space="0" w:color="000000"/>
          <w:right w:val="none" w:sz="0" w:space="0" w:color="000000"/>
          <w:between w:val="none" w:sz="0" w:space="0" w:color="000000"/>
        </w:pBdr>
        <w:spacing w:after="200" w:line="240" w:lineRule="auto"/>
        <w:rPr>
          <w:sz w:val="24"/>
          <w:szCs w:val="24"/>
        </w:rPr>
      </w:pPr>
      <w:hyperlink r:id="rId16" w:history="1">
        <w:r w:rsidR="00EB3580" w:rsidRPr="00C2770B">
          <w:rPr>
            <w:rStyle w:val="Hyperlink"/>
            <w:sz w:val="24"/>
            <w:szCs w:val="24"/>
          </w:rPr>
          <w:t>Mathematics Vertical Articulation Grades K – Algebra II SOL by Strand Concepts</w:t>
        </w:r>
      </w:hyperlink>
      <w:r w:rsidR="00EB3580">
        <w:rPr>
          <w:sz w:val="24"/>
          <w:szCs w:val="24"/>
        </w:rPr>
        <w:t xml:space="preserve">- </w:t>
      </w:r>
      <w:r w:rsidR="00EB3580">
        <w:rPr>
          <w:sz w:val="24"/>
          <w:szCs w:val="24"/>
          <w:highlight w:val="white"/>
        </w:rPr>
        <w:t>These versions of the MVAT address all five strands across select grade levels and include mathematics SOL numbers only.</w:t>
      </w:r>
    </w:p>
    <w:p w14:paraId="503BA968" w14:textId="6276270B" w:rsidR="00B24381" w:rsidRDefault="00C2770B">
      <w:pPr>
        <w:numPr>
          <w:ilvl w:val="0"/>
          <w:numId w:val="3"/>
        </w:numPr>
        <w:pBdr>
          <w:top w:val="none" w:sz="0" w:space="0" w:color="000000"/>
          <w:bottom w:val="none" w:sz="0" w:space="0" w:color="000000"/>
          <w:right w:val="none" w:sz="0" w:space="0" w:color="000000"/>
          <w:between w:val="none" w:sz="0" w:space="0" w:color="000000"/>
        </w:pBdr>
        <w:spacing w:after="200" w:line="240" w:lineRule="auto"/>
        <w:rPr>
          <w:sz w:val="24"/>
          <w:szCs w:val="24"/>
        </w:rPr>
      </w:pPr>
      <w:hyperlink r:id="rId17" w:history="1">
        <w:r w:rsidR="00EB3580" w:rsidRPr="00C2770B">
          <w:rPr>
            <w:rStyle w:val="Hyperlink"/>
            <w:sz w:val="24"/>
            <w:szCs w:val="24"/>
          </w:rPr>
          <w:t>Desmos Activity Log</w:t>
        </w:r>
      </w:hyperlink>
      <w:r w:rsidR="00EB3580">
        <w:rPr>
          <w:color w:val="24292E"/>
          <w:sz w:val="24"/>
          <w:szCs w:val="24"/>
        </w:rPr>
        <w:t xml:space="preserve">- </w:t>
      </w:r>
      <w:r w:rsidR="00EB3580">
        <w:rPr>
          <w:sz w:val="24"/>
          <w:szCs w:val="24"/>
        </w:rPr>
        <w:t>This Excel spreadsheet  contains a tab for each grade-level/mathematics course from Grade 2 through Algebra II.  Each grade level sheet includes a list of SOL-aligned Desmos activities with a brief description and direct link to the activity on the Desmos website.</w:t>
      </w:r>
    </w:p>
    <w:p w14:paraId="503BA969" w14:textId="46C32EFB" w:rsidR="00B24381" w:rsidRDefault="00C2770B">
      <w:pPr>
        <w:numPr>
          <w:ilvl w:val="0"/>
          <w:numId w:val="3"/>
        </w:numPr>
        <w:pBdr>
          <w:top w:val="none" w:sz="0" w:space="0" w:color="000000"/>
          <w:bottom w:val="none" w:sz="0" w:space="0" w:color="000000"/>
          <w:right w:val="none" w:sz="0" w:space="0" w:color="000000"/>
          <w:between w:val="none" w:sz="0" w:space="0" w:color="000000"/>
        </w:pBdr>
        <w:spacing w:after="200" w:line="240" w:lineRule="auto"/>
        <w:rPr>
          <w:sz w:val="24"/>
          <w:szCs w:val="24"/>
        </w:rPr>
      </w:pPr>
      <w:hyperlink r:id="rId18" w:history="1">
        <w:r w:rsidR="00EB3580" w:rsidRPr="00C2770B">
          <w:rPr>
            <w:rStyle w:val="Hyperlink"/>
            <w:sz w:val="24"/>
            <w:szCs w:val="24"/>
          </w:rPr>
          <w:t>Evidence-Based Specially Designed Instruction in Mathematics Resource Guide</w:t>
        </w:r>
      </w:hyperlink>
      <w:r w:rsidR="00EB3580">
        <w:rPr>
          <w:color w:val="1155CC"/>
          <w:sz w:val="24"/>
          <w:szCs w:val="24"/>
          <w:u w:val="single"/>
        </w:rPr>
        <w:t xml:space="preserve"> </w:t>
      </w:r>
      <w:r w:rsidR="00EB3580">
        <w:rPr>
          <w:sz w:val="24"/>
          <w:szCs w:val="24"/>
        </w:rPr>
        <w:t>(PDF) - This guide provides an overview of evidence-based instructional strategies that educators can utilize to support students with mathematics disability or difficulty at any grade</w:t>
      </w:r>
      <w:r w:rsidR="00EB3580">
        <w:rPr>
          <w:color w:val="1155CC"/>
          <w:sz w:val="24"/>
          <w:szCs w:val="24"/>
        </w:rPr>
        <w:t>.</w:t>
      </w:r>
    </w:p>
    <w:p w14:paraId="503BA96A" w14:textId="54426AF3" w:rsidR="00B24381" w:rsidRDefault="00C2770B">
      <w:pPr>
        <w:numPr>
          <w:ilvl w:val="0"/>
          <w:numId w:val="3"/>
        </w:numPr>
        <w:pBdr>
          <w:top w:val="none" w:sz="0" w:space="0" w:color="000000"/>
          <w:bottom w:val="none" w:sz="0" w:space="0" w:color="000000"/>
          <w:right w:val="none" w:sz="0" w:space="0" w:color="000000"/>
          <w:between w:val="none" w:sz="0" w:space="0" w:color="000000"/>
        </w:pBdr>
        <w:spacing w:after="200" w:line="240" w:lineRule="auto"/>
        <w:rPr>
          <w:color w:val="1155CC"/>
          <w:sz w:val="24"/>
          <w:szCs w:val="24"/>
        </w:rPr>
      </w:pPr>
      <w:hyperlink r:id="rId19" w:history="1">
        <w:r w:rsidR="00EB3580" w:rsidRPr="00C2770B">
          <w:rPr>
            <w:rStyle w:val="Hyperlink"/>
            <w:sz w:val="24"/>
            <w:szCs w:val="24"/>
          </w:rPr>
          <w:t>Just in Time Mathematics Quick Checks</w:t>
        </w:r>
      </w:hyperlink>
      <w:r w:rsidR="00EB3580">
        <w:rPr>
          <w:color w:val="1155CC"/>
          <w:sz w:val="24"/>
          <w:szCs w:val="24"/>
        </w:rPr>
        <w:t xml:space="preserve">- </w:t>
      </w:r>
      <w:r w:rsidR="00EB3580">
        <w:rPr>
          <w:sz w:val="24"/>
          <w:szCs w:val="24"/>
        </w:rPr>
        <w:t xml:space="preserve">These </w:t>
      </w:r>
      <w:r w:rsidR="00EB3580">
        <w:rPr>
          <w:sz w:val="24"/>
          <w:szCs w:val="24"/>
          <w:highlight w:val="white"/>
        </w:rPr>
        <w:t>formative assessments that align to the 2016 Mathematics Standards of Learning (SOL).These resources, developed by Virginia teachers and mathematics leaders, are designed to help teachers identify students with unfinished learning and assist in planning instruction to fill potential gaps “just in time.”</w:t>
      </w:r>
      <w:r w:rsidR="00EB3580">
        <w:rPr>
          <w:rFonts w:ascii="Trebuchet MS" w:eastAsia="Trebuchet MS" w:hAnsi="Trebuchet MS" w:cs="Trebuchet MS"/>
          <w:sz w:val="18"/>
          <w:szCs w:val="18"/>
          <w:highlight w:val="white"/>
        </w:rPr>
        <w:t xml:space="preserve"> </w:t>
      </w:r>
    </w:p>
    <w:p w14:paraId="503BA96B" w14:textId="2AF13008" w:rsidR="00B24381" w:rsidRDefault="00C2770B">
      <w:pPr>
        <w:numPr>
          <w:ilvl w:val="0"/>
          <w:numId w:val="3"/>
        </w:numPr>
        <w:pBdr>
          <w:top w:val="none" w:sz="0" w:space="0" w:color="000000"/>
          <w:bottom w:val="none" w:sz="0" w:space="0" w:color="000000"/>
          <w:right w:val="none" w:sz="0" w:space="0" w:color="000000"/>
          <w:between w:val="none" w:sz="0" w:space="0" w:color="000000"/>
        </w:pBdr>
        <w:shd w:val="clear" w:color="auto" w:fill="FFFFFF"/>
        <w:spacing w:after="200" w:line="240" w:lineRule="auto"/>
        <w:rPr>
          <w:sz w:val="24"/>
          <w:szCs w:val="24"/>
        </w:rPr>
      </w:pPr>
      <w:hyperlink r:id="rId20" w:history="1">
        <w:r w:rsidR="00EB3580" w:rsidRPr="00C2770B">
          <w:rPr>
            <w:rStyle w:val="Hyperlink"/>
            <w:sz w:val="24"/>
            <w:szCs w:val="24"/>
          </w:rPr>
          <w:t xml:space="preserve">Mathematics Vocabulary Word Wall Cards </w:t>
        </w:r>
      </w:hyperlink>
      <w:r w:rsidR="00EB3580">
        <w:rPr>
          <w:sz w:val="24"/>
          <w:szCs w:val="24"/>
        </w:rPr>
        <w:t xml:space="preserve"> - (K-8, Algebra I, Geometry, AFDA, and Algebra II) This collection provides mathematics content words and associated visual cues to assist in vocabulary development.</w:t>
      </w:r>
    </w:p>
    <w:p w14:paraId="503BA96C" w14:textId="65148877" w:rsidR="00B24381" w:rsidRDefault="00C2770B">
      <w:pPr>
        <w:numPr>
          <w:ilvl w:val="0"/>
          <w:numId w:val="3"/>
        </w:numPr>
        <w:pBdr>
          <w:top w:val="none" w:sz="0" w:space="0" w:color="000000"/>
          <w:bottom w:val="none" w:sz="0" w:space="0" w:color="000000"/>
          <w:right w:val="none" w:sz="0" w:space="0" w:color="000000"/>
          <w:between w:val="none" w:sz="0" w:space="0" w:color="000000"/>
        </w:pBdr>
        <w:shd w:val="clear" w:color="auto" w:fill="FFFFFF"/>
        <w:spacing w:after="200" w:line="240" w:lineRule="auto"/>
        <w:rPr>
          <w:sz w:val="24"/>
          <w:szCs w:val="24"/>
        </w:rPr>
      </w:pPr>
      <w:hyperlink r:id="rId21" w:history="1">
        <w:r w:rsidR="00EB3580" w:rsidRPr="00C2770B">
          <w:rPr>
            <w:rStyle w:val="Hyperlink"/>
            <w:sz w:val="24"/>
            <w:szCs w:val="24"/>
          </w:rPr>
          <w:t>Rich Mathematical Tasks</w:t>
        </w:r>
      </w:hyperlink>
      <w:r w:rsidR="00EB3580">
        <w:rPr>
          <w:sz w:val="24"/>
          <w:szCs w:val="24"/>
        </w:rPr>
        <w:t xml:space="preserve"> – (K-8, Algebra I, Geometry, Algebra II) These resources are provided to support teachers in implementing the 2016 </w:t>
      </w:r>
      <w:r w:rsidR="00EB3580">
        <w:rPr>
          <w:i/>
          <w:sz w:val="24"/>
          <w:szCs w:val="24"/>
        </w:rPr>
        <w:t xml:space="preserve">Mathematics Standards of Learning </w:t>
      </w:r>
      <w:r w:rsidR="00EB3580">
        <w:rPr>
          <w:sz w:val="24"/>
          <w:szCs w:val="24"/>
        </w:rPr>
        <w:t>in their classrooms.  Teachers are encouraged to not only use these tasks with their students, but also to endeavor to implement them with fidelity by utilizing the detailed information provided in the task implementation templates.</w:t>
      </w:r>
    </w:p>
    <w:p w14:paraId="503BA96D" w14:textId="724EB7D8" w:rsidR="00B24381" w:rsidRDefault="00262963">
      <w:pPr>
        <w:numPr>
          <w:ilvl w:val="0"/>
          <w:numId w:val="3"/>
        </w:numPr>
        <w:pBdr>
          <w:top w:val="none" w:sz="0" w:space="0" w:color="000000"/>
          <w:bottom w:val="none" w:sz="0" w:space="0" w:color="000000"/>
          <w:right w:val="none" w:sz="0" w:space="0" w:color="000000"/>
          <w:between w:val="none" w:sz="0" w:space="0" w:color="000000"/>
        </w:pBdr>
        <w:shd w:val="clear" w:color="auto" w:fill="FFFFFF"/>
        <w:spacing w:after="200" w:line="240" w:lineRule="auto"/>
        <w:rPr>
          <w:sz w:val="24"/>
          <w:szCs w:val="24"/>
        </w:rPr>
      </w:pPr>
      <w:hyperlink r:id="rId22" w:history="1">
        <w:r w:rsidR="00EB3580" w:rsidRPr="00262963">
          <w:rPr>
            <w:rStyle w:val="Hyperlink"/>
            <w:sz w:val="24"/>
            <w:szCs w:val="24"/>
          </w:rPr>
          <w:t>Mathematics Instructional Plans</w:t>
        </w:r>
      </w:hyperlink>
      <w:r w:rsidR="00EB3580">
        <w:rPr>
          <w:color w:val="1155CC"/>
          <w:sz w:val="24"/>
          <w:szCs w:val="24"/>
        </w:rPr>
        <w:t xml:space="preserve"> </w:t>
      </w:r>
      <w:r w:rsidR="00EB3580">
        <w:rPr>
          <w:sz w:val="24"/>
          <w:szCs w:val="24"/>
        </w:rPr>
        <w:t xml:space="preserve">– These instructional plans are aligned to the 2016 </w:t>
      </w:r>
      <w:r w:rsidR="00EB3580">
        <w:rPr>
          <w:i/>
          <w:sz w:val="24"/>
          <w:szCs w:val="24"/>
        </w:rPr>
        <w:t>Mathematics Standards of Learning</w:t>
      </w:r>
      <w:r w:rsidR="00EB3580">
        <w:rPr>
          <w:sz w:val="24"/>
          <w:szCs w:val="24"/>
        </w:rPr>
        <w:t xml:space="preserve"> to assist teachers in aligning instruction to the essential knowledge and skills.</w:t>
      </w:r>
    </w:p>
    <w:p w14:paraId="503BA96F" w14:textId="663DEE05" w:rsidR="00B24381" w:rsidRPr="00262963" w:rsidRDefault="00262963" w:rsidP="00262963">
      <w:pPr>
        <w:numPr>
          <w:ilvl w:val="0"/>
          <w:numId w:val="3"/>
        </w:numPr>
        <w:pBdr>
          <w:top w:val="none" w:sz="0" w:space="0" w:color="000000"/>
          <w:bottom w:val="none" w:sz="0" w:space="0" w:color="000000"/>
          <w:right w:val="none" w:sz="0" w:space="0" w:color="000000"/>
          <w:between w:val="none" w:sz="0" w:space="0" w:color="000000"/>
        </w:pBdr>
        <w:spacing w:after="200" w:line="240" w:lineRule="auto"/>
        <w:rPr>
          <w:sz w:val="24"/>
          <w:szCs w:val="24"/>
        </w:rPr>
      </w:pPr>
      <w:hyperlink r:id="rId23" w:history="1">
        <w:r w:rsidR="00EB3580" w:rsidRPr="00262963">
          <w:rPr>
            <w:rStyle w:val="Hyperlink"/>
            <w:sz w:val="24"/>
            <w:szCs w:val="24"/>
          </w:rPr>
          <w:t>Students with Disabilities in Mathematics: Frequently Asked Questions</w:t>
        </w:r>
      </w:hyperlink>
      <w:r w:rsidR="00EB3580" w:rsidRPr="00262963">
        <w:rPr>
          <w:color w:val="1155CC"/>
          <w:sz w:val="24"/>
          <w:szCs w:val="24"/>
        </w:rPr>
        <w:t xml:space="preserve"> </w:t>
      </w:r>
      <w:r w:rsidR="00EB3580" w:rsidRPr="00262963">
        <w:rPr>
          <w:sz w:val="24"/>
          <w:szCs w:val="24"/>
        </w:rPr>
        <w:t>(PDF) - This  document provides an overview of the characteristics of mathematics disability as well as information about accommodations, modifications, and assistive technology that can support a student with a disability in mathematics.</w:t>
      </w:r>
      <w:bookmarkStart w:id="0" w:name="_heading=h.c5hyt26qzxh3" w:colFirst="0" w:colLast="0"/>
      <w:bookmarkEnd w:id="0"/>
    </w:p>
    <w:bookmarkStart w:id="1" w:name="_heading=h.9ryem66z00pl" w:colFirst="0" w:colLast="0"/>
    <w:bookmarkEnd w:id="1"/>
    <w:p w14:paraId="503BA970" w14:textId="77777777" w:rsidR="00B24381" w:rsidRDefault="00EB3580">
      <w:pPr>
        <w:numPr>
          <w:ilvl w:val="0"/>
          <w:numId w:val="3"/>
        </w:numPr>
        <w:pBdr>
          <w:top w:val="none" w:sz="0" w:space="0" w:color="000000"/>
          <w:bottom w:val="none" w:sz="0" w:space="0" w:color="000000"/>
          <w:right w:val="none" w:sz="0" w:space="0" w:color="000000"/>
          <w:between w:val="none" w:sz="0" w:space="0" w:color="000000"/>
        </w:pBdr>
        <w:spacing w:after="200" w:line="240" w:lineRule="auto"/>
      </w:pPr>
      <w:r>
        <w:fldChar w:fldCharType="begin"/>
      </w:r>
      <w:r>
        <w:instrText xml:space="preserve"> HYPERLINK "http://ttaconline.org/mathematics-standards-of-learning" \h </w:instrText>
      </w:r>
      <w:r>
        <w:fldChar w:fldCharType="separate"/>
      </w:r>
      <w:r>
        <w:rPr>
          <w:color w:val="0000FF"/>
          <w:sz w:val="24"/>
          <w:szCs w:val="24"/>
          <w:u w:val="single"/>
        </w:rPr>
        <w:t xml:space="preserve">TTAC Online Mathematics Standards of Learning Instructional Strategies and Resources </w:t>
      </w:r>
      <w:r>
        <w:rPr>
          <w:color w:val="0000FF"/>
          <w:sz w:val="24"/>
          <w:szCs w:val="24"/>
          <w:u w:val="single"/>
        </w:rPr>
        <w:fldChar w:fldCharType="end"/>
      </w:r>
      <w:r>
        <w:rPr>
          <w:sz w:val="24"/>
          <w:szCs w:val="24"/>
        </w:rPr>
        <w:t xml:space="preserve">-Comprehensive compilation of Virginia standards of learning resources and instructional strategies to support students with disabilities in mathematics </w:t>
      </w:r>
    </w:p>
    <w:p w14:paraId="503BA971" w14:textId="224D5F3A" w:rsidR="00B24381" w:rsidRDefault="00EB3580">
      <w:pPr>
        <w:pStyle w:val="Heading1"/>
        <w:spacing w:line="240" w:lineRule="auto"/>
        <w:rPr>
          <w:b/>
          <w:sz w:val="24"/>
          <w:szCs w:val="24"/>
        </w:rPr>
      </w:pPr>
      <w:r>
        <w:rPr>
          <w:b/>
          <w:sz w:val="24"/>
          <w:szCs w:val="24"/>
        </w:rPr>
        <w:t>Other resources to support VESOL mathematics instruction include:</w:t>
      </w:r>
    </w:p>
    <w:p w14:paraId="0D4B02E6" w14:textId="6A5A983D" w:rsidR="005C2E62" w:rsidRPr="005C2E62" w:rsidRDefault="005C2E62" w:rsidP="005C2E62">
      <w:pPr>
        <w:rPr>
          <w:b/>
          <w:sz w:val="24"/>
          <w:szCs w:val="24"/>
        </w:rPr>
      </w:pPr>
      <w:r w:rsidRPr="005C2E62">
        <w:rPr>
          <w:b/>
          <w:sz w:val="24"/>
          <w:szCs w:val="24"/>
        </w:rPr>
        <w:t>Go Open Virginia</w:t>
      </w:r>
    </w:p>
    <w:p w14:paraId="503BA972" w14:textId="7858883D" w:rsidR="00B24381" w:rsidRPr="005C2E62" w:rsidRDefault="00262963" w:rsidP="005C2E62">
      <w:pPr>
        <w:pStyle w:val="ListParagraph"/>
        <w:numPr>
          <w:ilvl w:val="0"/>
          <w:numId w:val="6"/>
        </w:numPr>
        <w:pBdr>
          <w:top w:val="none" w:sz="0" w:space="0" w:color="000000"/>
          <w:bottom w:val="none" w:sz="0" w:space="0" w:color="000000"/>
          <w:right w:val="none" w:sz="0" w:space="0" w:color="000000"/>
          <w:between w:val="none" w:sz="0" w:space="0" w:color="000000"/>
        </w:pBdr>
        <w:spacing w:line="240" w:lineRule="auto"/>
        <w:rPr>
          <w:sz w:val="24"/>
          <w:szCs w:val="24"/>
        </w:rPr>
      </w:pPr>
      <w:hyperlink r:id="rId24">
        <w:r w:rsidR="00EB3580" w:rsidRPr="005C2E62">
          <w:rPr>
            <w:color w:val="0000FF"/>
            <w:sz w:val="24"/>
            <w:szCs w:val="24"/>
            <w:u w:val="single"/>
          </w:rPr>
          <w:t>GoOpenVA</w:t>
        </w:r>
      </w:hyperlink>
      <w:r w:rsidR="005C2E62">
        <w:rPr>
          <w:b/>
          <w:sz w:val="24"/>
          <w:szCs w:val="24"/>
        </w:rPr>
        <w:t xml:space="preserve"> -</w:t>
      </w:r>
      <w:r w:rsidR="00EB3580" w:rsidRPr="005C2E62">
        <w:rPr>
          <w:sz w:val="24"/>
          <w:szCs w:val="24"/>
          <w:highlight w:val="white"/>
        </w:rPr>
        <w:t xml:space="preserve"> a collaborative initiative that enables educational entities throughout Virginia to create, share, and access openly-licensed educational resources (OER, also known as open education resources). OER are free digital materials that can be used or modified to adjust to student needs</w:t>
      </w:r>
      <w:r w:rsidR="005C2E62">
        <w:rPr>
          <w:sz w:val="24"/>
          <w:szCs w:val="24"/>
          <w:highlight w:val="white"/>
        </w:rPr>
        <w:t>. T</w:t>
      </w:r>
      <w:r w:rsidR="00EB3580" w:rsidRPr="005C2E62">
        <w:rPr>
          <w:sz w:val="24"/>
          <w:szCs w:val="24"/>
          <w:highlight w:val="white"/>
        </w:rPr>
        <w:t>hey are openly-licensed unhampered by many traditional copyright limitations.</w:t>
      </w:r>
    </w:p>
    <w:p w14:paraId="503BA973" w14:textId="77777777" w:rsidR="00B24381" w:rsidRDefault="00B24381">
      <w:pPr>
        <w:pBdr>
          <w:top w:val="none" w:sz="0" w:space="0" w:color="000000"/>
          <w:bottom w:val="none" w:sz="0" w:space="0" w:color="000000"/>
          <w:right w:val="none" w:sz="0" w:space="0" w:color="000000"/>
          <w:between w:val="none" w:sz="0" w:space="0" w:color="000000"/>
        </w:pBdr>
        <w:rPr>
          <w:sz w:val="24"/>
          <w:szCs w:val="24"/>
        </w:rPr>
      </w:pPr>
    </w:p>
    <w:p w14:paraId="503BA974" w14:textId="77777777" w:rsidR="00B24381" w:rsidRDefault="00EB3580">
      <w:pPr>
        <w:pBdr>
          <w:top w:val="none" w:sz="0" w:space="0" w:color="000000"/>
          <w:bottom w:val="none" w:sz="0" w:space="0" w:color="000000"/>
          <w:right w:val="none" w:sz="0" w:space="0" w:color="000000"/>
          <w:between w:val="none" w:sz="0" w:space="0" w:color="000000"/>
        </w:pBdr>
        <w:rPr>
          <w:b/>
          <w:sz w:val="24"/>
          <w:szCs w:val="24"/>
        </w:rPr>
      </w:pPr>
      <w:r>
        <w:rPr>
          <w:b/>
          <w:sz w:val="24"/>
          <w:szCs w:val="24"/>
        </w:rPr>
        <w:t>National Center on Intensive Intervention (NCII)</w:t>
      </w:r>
    </w:p>
    <w:bookmarkStart w:id="2" w:name="_heading=h.30j0zll" w:colFirst="0" w:colLast="0"/>
    <w:bookmarkEnd w:id="2"/>
    <w:p w14:paraId="503BA975" w14:textId="77777777" w:rsidR="00B24381" w:rsidRDefault="00EB3580">
      <w:pPr>
        <w:pStyle w:val="Heading1"/>
        <w:numPr>
          <w:ilvl w:val="0"/>
          <w:numId w:val="4"/>
        </w:numPr>
        <w:spacing w:before="0" w:line="240" w:lineRule="auto"/>
        <w:rPr>
          <w:sz w:val="24"/>
          <w:szCs w:val="24"/>
        </w:rPr>
      </w:pPr>
      <w:r>
        <w:fldChar w:fldCharType="begin"/>
      </w:r>
      <w:r>
        <w:instrText xml:space="preserve"> HYPERLINK "https://intensiveintervention.org/intervention-resources/mathematics-strategies-support-intensifying-interventions" \h </w:instrText>
      </w:r>
      <w:r>
        <w:fldChar w:fldCharType="separate"/>
      </w:r>
      <w:r>
        <w:rPr>
          <w:color w:val="1155CC"/>
          <w:sz w:val="24"/>
          <w:szCs w:val="24"/>
          <w:u w:val="single"/>
        </w:rPr>
        <w:t>Mathematics Strategies to Support Intensifying Interventions-</w:t>
      </w:r>
      <w:r>
        <w:rPr>
          <w:color w:val="1155CC"/>
          <w:sz w:val="24"/>
          <w:szCs w:val="24"/>
          <w:u w:val="single"/>
        </w:rPr>
        <w:fldChar w:fldCharType="end"/>
      </w:r>
      <w:r>
        <w:rPr>
          <w:sz w:val="24"/>
          <w:szCs w:val="24"/>
        </w:rPr>
        <w:t xml:space="preserve"> </w:t>
      </w:r>
      <w:r>
        <w:rPr>
          <w:color w:val="333333"/>
          <w:sz w:val="24"/>
          <w:szCs w:val="24"/>
          <w:highlight w:val="white"/>
        </w:rPr>
        <w:t>NCII developed a series of mathematics lessons and guidance documents to support special education instructors, mathematics specialists, and others working with students who struggle with mathematics. These lessons and activities are organized around six mathematics skill areas:</w:t>
      </w:r>
    </w:p>
    <w:bookmarkStart w:id="3" w:name="_heading=h.1fob9te" w:colFirst="0" w:colLast="0"/>
    <w:bookmarkEnd w:id="3"/>
    <w:p w14:paraId="503BA976" w14:textId="77777777" w:rsidR="00B24381" w:rsidRDefault="00EB3580">
      <w:pPr>
        <w:pStyle w:val="Heading1"/>
        <w:numPr>
          <w:ilvl w:val="1"/>
          <w:numId w:val="4"/>
        </w:numPr>
        <w:spacing w:before="0" w:after="0"/>
        <w:rPr>
          <w:sz w:val="24"/>
          <w:szCs w:val="24"/>
        </w:rPr>
      </w:pPr>
      <w:r>
        <w:fldChar w:fldCharType="begin"/>
      </w:r>
      <w:r>
        <w:instrText xml:space="preserve"> HYPERLINK "https://intensiveintervention.org/intervention-resources/mathematics-strategies-support-intensifying-interventions" \l "numbers" \h </w:instrText>
      </w:r>
      <w:r>
        <w:fldChar w:fldCharType="separate"/>
      </w:r>
      <w:r>
        <w:rPr>
          <w:color w:val="1155CC"/>
          <w:sz w:val="24"/>
          <w:szCs w:val="24"/>
          <w:u w:val="single"/>
        </w:rPr>
        <w:t>Number System Counting</w:t>
      </w:r>
      <w:r>
        <w:rPr>
          <w:color w:val="1155CC"/>
          <w:sz w:val="24"/>
          <w:szCs w:val="24"/>
          <w:u w:val="single"/>
        </w:rPr>
        <w:fldChar w:fldCharType="end"/>
      </w:r>
    </w:p>
    <w:p w14:paraId="503BA977" w14:textId="77777777" w:rsidR="00B24381" w:rsidRDefault="00262963">
      <w:pPr>
        <w:numPr>
          <w:ilvl w:val="1"/>
          <w:numId w:val="4"/>
        </w:numPr>
        <w:rPr>
          <w:sz w:val="24"/>
          <w:szCs w:val="24"/>
        </w:rPr>
      </w:pPr>
      <w:hyperlink r:id="rId25" w:anchor="facts">
        <w:r w:rsidR="00EB3580">
          <w:rPr>
            <w:color w:val="1155CC"/>
            <w:sz w:val="24"/>
            <w:szCs w:val="24"/>
            <w:u w:val="single"/>
          </w:rPr>
          <w:t>Basic Facts</w:t>
        </w:r>
      </w:hyperlink>
    </w:p>
    <w:p w14:paraId="503BA978" w14:textId="77777777" w:rsidR="00B24381" w:rsidRDefault="00262963">
      <w:pPr>
        <w:numPr>
          <w:ilvl w:val="1"/>
          <w:numId w:val="4"/>
        </w:numPr>
        <w:rPr>
          <w:sz w:val="24"/>
          <w:szCs w:val="24"/>
        </w:rPr>
      </w:pPr>
      <w:hyperlink r:id="rId26" w:anchor="fluency">
        <w:r w:rsidR="00EB3580">
          <w:rPr>
            <w:color w:val="1155CC"/>
            <w:sz w:val="24"/>
            <w:szCs w:val="24"/>
            <w:u w:val="single"/>
          </w:rPr>
          <w:t>Place Value</w:t>
        </w:r>
      </w:hyperlink>
    </w:p>
    <w:p w14:paraId="503BA979" w14:textId="77777777" w:rsidR="00B24381" w:rsidRDefault="00262963">
      <w:pPr>
        <w:numPr>
          <w:ilvl w:val="1"/>
          <w:numId w:val="4"/>
        </w:numPr>
        <w:rPr>
          <w:sz w:val="24"/>
          <w:szCs w:val="24"/>
        </w:rPr>
      </w:pPr>
      <w:hyperlink r:id="rId27" w:anchor="place">
        <w:r w:rsidR="00EB3580">
          <w:rPr>
            <w:color w:val="1155CC"/>
            <w:sz w:val="24"/>
            <w:szCs w:val="24"/>
            <w:u w:val="single"/>
          </w:rPr>
          <w:t>Place Value Computation</w:t>
        </w:r>
      </w:hyperlink>
    </w:p>
    <w:p w14:paraId="503BA97A" w14:textId="77777777" w:rsidR="00B24381" w:rsidRDefault="00262963">
      <w:pPr>
        <w:numPr>
          <w:ilvl w:val="1"/>
          <w:numId w:val="4"/>
        </w:numPr>
        <w:rPr>
          <w:sz w:val="24"/>
          <w:szCs w:val="24"/>
        </w:rPr>
      </w:pPr>
      <w:hyperlink r:id="rId28" w:anchor="fractions">
        <w:r w:rsidR="00EB3580">
          <w:rPr>
            <w:color w:val="1155CC"/>
            <w:sz w:val="24"/>
            <w:szCs w:val="24"/>
            <w:u w:val="single"/>
          </w:rPr>
          <w:t>Fractions as Numbers</w:t>
        </w:r>
      </w:hyperlink>
    </w:p>
    <w:p w14:paraId="503BA97B" w14:textId="77777777" w:rsidR="00B24381" w:rsidRDefault="00262963">
      <w:pPr>
        <w:numPr>
          <w:ilvl w:val="1"/>
          <w:numId w:val="4"/>
        </w:numPr>
        <w:rPr>
          <w:sz w:val="24"/>
          <w:szCs w:val="24"/>
        </w:rPr>
      </w:pPr>
      <w:hyperlink r:id="rId29" w:anchor="computation">
        <w:r w:rsidR="00EB3580">
          <w:rPr>
            <w:color w:val="1155CC"/>
            <w:sz w:val="24"/>
            <w:szCs w:val="24"/>
            <w:u w:val="single"/>
          </w:rPr>
          <w:t>Computation of Fractions</w:t>
        </w:r>
      </w:hyperlink>
    </w:p>
    <w:p w14:paraId="503BA97C" w14:textId="77777777" w:rsidR="00B24381" w:rsidRDefault="00B24381">
      <w:pPr>
        <w:rPr>
          <w:sz w:val="24"/>
          <w:szCs w:val="24"/>
        </w:rPr>
      </w:pPr>
    </w:p>
    <w:p w14:paraId="503BA97D" w14:textId="77777777" w:rsidR="00B24381" w:rsidRDefault="00EB3580">
      <w:pPr>
        <w:rPr>
          <w:sz w:val="24"/>
          <w:szCs w:val="24"/>
        </w:rPr>
      </w:pPr>
      <w:r>
        <w:rPr>
          <w:b/>
          <w:sz w:val="24"/>
          <w:szCs w:val="24"/>
        </w:rPr>
        <w:t>Concrete, Representational, Abstract (CRA)</w:t>
      </w:r>
      <w:r>
        <w:rPr>
          <w:sz w:val="24"/>
          <w:szCs w:val="24"/>
        </w:rPr>
        <w:t>:</w:t>
      </w:r>
    </w:p>
    <w:p w14:paraId="503BA97E" w14:textId="77777777" w:rsidR="00B24381" w:rsidRDefault="00262963">
      <w:pPr>
        <w:numPr>
          <w:ilvl w:val="0"/>
          <w:numId w:val="5"/>
        </w:numPr>
        <w:spacing w:after="200" w:line="240" w:lineRule="auto"/>
        <w:rPr>
          <w:sz w:val="24"/>
          <w:szCs w:val="24"/>
        </w:rPr>
      </w:pPr>
      <w:hyperlink r:id="rId30">
        <w:r w:rsidR="00EB3580">
          <w:rPr>
            <w:color w:val="0000FF"/>
            <w:sz w:val="24"/>
            <w:szCs w:val="24"/>
            <w:highlight w:val="white"/>
            <w:u w:val="single"/>
          </w:rPr>
          <w:t>Concrete Representational Abstract Approach</w:t>
        </w:r>
      </w:hyperlink>
      <w:r w:rsidR="00EB3580">
        <w:rPr>
          <w:sz w:val="24"/>
          <w:szCs w:val="24"/>
        </w:rPr>
        <w:t>- CRA is a sequential instructional approach through which students move from working with concrete materials to creating representational drawings to using abstract symbols. Using this concrete-representational-abstract sequence helps students develop the thorough mental representations that are foundational for conceptual understanding.</w:t>
      </w:r>
    </w:p>
    <w:bookmarkStart w:id="4" w:name="_heading=h.3znysh7" w:colFirst="0" w:colLast="0"/>
    <w:bookmarkEnd w:id="4"/>
    <w:p w14:paraId="503BA97F" w14:textId="77777777" w:rsidR="00B24381" w:rsidRDefault="00EB3580">
      <w:pPr>
        <w:pStyle w:val="Heading1"/>
        <w:numPr>
          <w:ilvl w:val="0"/>
          <w:numId w:val="5"/>
        </w:numPr>
        <w:spacing w:before="200"/>
        <w:rPr>
          <w:sz w:val="24"/>
          <w:szCs w:val="24"/>
        </w:rPr>
      </w:pPr>
      <w:r>
        <w:fldChar w:fldCharType="begin"/>
      </w:r>
      <w:r>
        <w:instrText xml:space="preserve"> HYPERLINK "https://youtu.be/J9LhQWRgZW8" \h </w:instrText>
      </w:r>
      <w:r>
        <w:fldChar w:fldCharType="separate"/>
      </w:r>
      <w:r>
        <w:rPr>
          <w:color w:val="1155CC"/>
          <w:sz w:val="24"/>
          <w:szCs w:val="24"/>
          <w:u w:val="single"/>
        </w:rPr>
        <w:t>The CRA Sequence</w:t>
      </w:r>
      <w:r>
        <w:rPr>
          <w:color w:val="1155CC"/>
          <w:sz w:val="24"/>
          <w:szCs w:val="24"/>
          <w:u w:val="single"/>
        </w:rPr>
        <w:fldChar w:fldCharType="end"/>
      </w:r>
      <w:r>
        <w:rPr>
          <w:sz w:val="24"/>
          <w:szCs w:val="24"/>
        </w:rPr>
        <w:t>- This video discusses what instruction looks like across a CRA sequence.</w:t>
      </w:r>
    </w:p>
    <w:p w14:paraId="503BA980" w14:textId="77777777" w:rsidR="00B24381" w:rsidRDefault="00B24381">
      <w:pPr>
        <w:spacing w:line="259" w:lineRule="auto"/>
        <w:ind w:left="720"/>
        <w:rPr>
          <w:sz w:val="24"/>
          <w:szCs w:val="24"/>
        </w:rPr>
      </w:pPr>
    </w:p>
    <w:p w14:paraId="503BA981" w14:textId="77777777" w:rsidR="00B24381" w:rsidRDefault="00EB3580">
      <w:pPr>
        <w:spacing w:line="259" w:lineRule="auto"/>
        <w:rPr>
          <w:b/>
          <w:color w:val="24292E"/>
          <w:sz w:val="24"/>
          <w:szCs w:val="24"/>
        </w:rPr>
      </w:pPr>
      <w:r>
        <w:rPr>
          <w:b/>
          <w:color w:val="24292E"/>
          <w:sz w:val="24"/>
          <w:szCs w:val="24"/>
        </w:rPr>
        <w:t>Virtual Manipulative Resources:</w:t>
      </w:r>
    </w:p>
    <w:p w14:paraId="503BA982" w14:textId="77777777" w:rsidR="00B24381" w:rsidRDefault="00262963">
      <w:pPr>
        <w:numPr>
          <w:ilvl w:val="0"/>
          <w:numId w:val="1"/>
        </w:numPr>
        <w:pBdr>
          <w:top w:val="nil"/>
          <w:left w:val="nil"/>
          <w:bottom w:val="nil"/>
          <w:right w:val="nil"/>
          <w:between w:val="nil"/>
        </w:pBdr>
        <w:spacing w:line="259" w:lineRule="auto"/>
        <w:rPr>
          <w:b/>
          <w:color w:val="24292E"/>
          <w:sz w:val="24"/>
          <w:szCs w:val="24"/>
        </w:rPr>
      </w:pPr>
      <w:hyperlink r:id="rId31">
        <w:r w:rsidR="00EB3580">
          <w:rPr>
            <w:color w:val="0000FF"/>
            <w:sz w:val="24"/>
            <w:szCs w:val="24"/>
            <w:u w:val="single"/>
          </w:rPr>
          <w:t>National Library of Virtual Manipulatives</w:t>
        </w:r>
      </w:hyperlink>
    </w:p>
    <w:p w14:paraId="503BA983" w14:textId="77777777" w:rsidR="00B24381" w:rsidRDefault="00262963">
      <w:pPr>
        <w:numPr>
          <w:ilvl w:val="0"/>
          <w:numId w:val="1"/>
        </w:numPr>
        <w:pBdr>
          <w:top w:val="nil"/>
          <w:left w:val="nil"/>
          <w:bottom w:val="nil"/>
          <w:right w:val="nil"/>
          <w:between w:val="nil"/>
        </w:pBdr>
        <w:spacing w:line="259" w:lineRule="auto"/>
        <w:rPr>
          <w:b/>
          <w:color w:val="24292E"/>
          <w:sz w:val="24"/>
          <w:szCs w:val="24"/>
        </w:rPr>
      </w:pPr>
      <w:hyperlink r:id="rId32">
        <w:r w:rsidR="00EB3580">
          <w:rPr>
            <w:color w:val="0000FF"/>
            <w:sz w:val="24"/>
            <w:szCs w:val="24"/>
            <w:u w:val="single"/>
          </w:rPr>
          <w:t>Toy Theater Virtual Manipulatives</w:t>
        </w:r>
      </w:hyperlink>
    </w:p>
    <w:p w14:paraId="503BA984" w14:textId="77777777" w:rsidR="00B24381" w:rsidRDefault="00262963">
      <w:pPr>
        <w:numPr>
          <w:ilvl w:val="0"/>
          <w:numId w:val="1"/>
        </w:numPr>
        <w:pBdr>
          <w:top w:val="nil"/>
          <w:left w:val="nil"/>
          <w:bottom w:val="nil"/>
          <w:right w:val="nil"/>
          <w:between w:val="nil"/>
        </w:pBdr>
        <w:spacing w:line="259" w:lineRule="auto"/>
        <w:rPr>
          <w:color w:val="24292E"/>
          <w:sz w:val="24"/>
          <w:szCs w:val="24"/>
        </w:rPr>
      </w:pPr>
      <w:hyperlink r:id="rId33">
        <w:r w:rsidR="00EB3580">
          <w:rPr>
            <w:color w:val="0000FF"/>
            <w:sz w:val="24"/>
            <w:szCs w:val="24"/>
            <w:u w:val="single"/>
          </w:rPr>
          <w:t>Geogebra</w:t>
        </w:r>
      </w:hyperlink>
    </w:p>
    <w:p w14:paraId="503BA985" w14:textId="77777777" w:rsidR="00B24381" w:rsidRDefault="00B24381">
      <w:pPr>
        <w:pBdr>
          <w:top w:val="nil"/>
          <w:left w:val="nil"/>
          <w:bottom w:val="nil"/>
          <w:right w:val="nil"/>
          <w:between w:val="nil"/>
        </w:pBdr>
        <w:spacing w:line="259" w:lineRule="auto"/>
        <w:ind w:left="720"/>
        <w:rPr>
          <w:color w:val="24292E"/>
          <w:sz w:val="24"/>
          <w:szCs w:val="24"/>
        </w:rPr>
      </w:pPr>
    </w:p>
    <w:p w14:paraId="503BA986" w14:textId="77777777" w:rsidR="00B24381" w:rsidRDefault="00EB3580">
      <w:pPr>
        <w:spacing w:line="259" w:lineRule="auto"/>
        <w:rPr>
          <w:b/>
          <w:sz w:val="24"/>
          <w:szCs w:val="24"/>
        </w:rPr>
      </w:pPr>
      <w:r>
        <w:rPr>
          <w:b/>
          <w:sz w:val="24"/>
          <w:szCs w:val="24"/>
        </w:rPr>
        <w:t>Number lines:</w:t>
      </w:r>
    </w:p>
    <w:p w14:paraId="503BA989" w14:textId="646B26DD" w:rsidR="00B24381" w:rsidRPr="008D191B" w:rsidRDefault="00262963" w:rsidP="008D191B">
      <w:pPr>
        <w:numPr>
          <w:ilvl w:val="0"/>
          <w:numId w:val="2"/>
        </w:numPr>
        <w:spacing w:line="259" w:lineRule="auto"/>
        <w:rPr>
          <w:sz w:val="24"/>
          <w:szCs w:val="24"/>
        </w:rPr>
      </w:pPr>
      <w:hyperlink r:id="rId34">
        <w:r w:rsidR="00EB3580" w:rsidRPr="008D191B">
          <w:rPr>
            <w:color w:val="0000FF"/>
            <w:sz w:val="24"/>
            <w:szCs w:val="24"/>
            <w:u w:val="single"/>
          </w:rPr>
          <w:t>Paths to Literacy-Functional Number Line</w:t>
        </w:r>
        <w:bookmarkStart w:id="5" w:name="_GoBack"/>
        <w:bookmarkEnd w:id="5"/>
        <w:r w:rsidR="00EB3580" w:rsidRPr="008D191B">
          <w:rPr>
            <w:color w:val="0000FF"/>
            <w:sz w:val="24"/>
            <w:szCs w:val="24"/>
            <w:u w:val="single"/>
          </w:rPr>
          <w:t xml:space="preserve"> for Students with CVI</w:t>
        </w:r>
      </w:hyperlink>
    </w:p>
    <w:sectPr w:rsidR="00B24381" w:rsidRPr="008D191B">
      <w:headerReference w:type="default" r:id="rId35"/>
      <w:footerReference w:type="default" r:id="rId3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EBCD7" w14:textId="77777777" w:rsidR="00947C72" w:rsidRDefault="00947C72">
      <w:pPr>
        <w:spacing w:line="240" w:lineRule="auto"/>
      </w:pPr>
      <w:r>
        <w:separator/>
      </w:r>
    </w:p>
  </w:endnote>
  <w:endnote w:type="continuationSeparator" w:id="0">
    <w:p w14:paraId="3AC8EC09" w14:textId="77777777" w:rsidR="00947C72" w:rsidRDefault="00947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A98F" w14:textId="04BC426B" w:rsidR="00B24381" w:rsidRDefault="00262963">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rFonts w:ascii="Calibri" w:eastAsia="Calibri" w:hAnsi="Calibri" w:cs="Calibri"/>
        <w:color w:val="000000"/>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D7F3D" w14:textId="77777777" w:rsidR="00947C72" w:rsidRDefault="00947C72">
      <w:pPr>
        <w:spacing w:line="240" w:lineRule="auto"/>
      </w:pPr>
      <w:r>
        <w:separator/>
      </w:r>
    </w:p>
  </w:footnote>
  <w:footnote w:type="continuationSeparator" w:id="0">
    <w:p w14:paraId="4E238E4D" w14:textId="77777777" w:rsidR="00947C72" w:rsidRDefault="00947C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A98E" w14:textId="77777777" w:rsidR="00B24381" w:rsidRDefault="00EB3580">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r>
      <w:rPr>
        <w:rFonts w:ascii="Calibri" w:eastAsia="Calibri" w:hAnsi="Calibri" w:cs="Calibri"/>
        <w:color w:val="000000"/>
      </w:rPr>
      <w:t>Virginia Department of Education Virginia Essentialized Standards (VESOL) Instruction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929"/>
    <w:multiLevelType w:val="multilevel"/>
    <w:tmpl w:val="D92AA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8418F5"/>
    <w:multiLevelType w:val="multilevel"/>
    <w:tmpl w:val="5664B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7F6C24"/>
    <w:multiLevelType w:val="multilevel"/>
    <w:tmpl w:val="CF86D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287B0A"/>
    <w:multiLevelType w:val="multilevel"/>
    <w:tmpl w:val="B0B22C4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B04C47"/>
    <w:multiLevelType w:val="multilevel"/>
    <w:tmpl w:val="F190A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574E2F"/>
    <w:multiLevelType w:val="hybridMultilevel"/>
    <w:tmpl w:val="5BE8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381"/>
    <w:rsid w:val="001610B2"/>
    <w:rsid w:val="0017587F"/>
    <w:rsid w:val="00251762"/>
    <w:rsid w:val="00262963"/>
    <w:rsid w:val="005C2E62"/>
    <w:rsid w:val="00651A8F"/>
    <w:rsid w:val="008D191B"/>
    <w:rsid w:val="00947C72"/>
    <w:rsid w:val="00B24381"/>
    <w:rsid w:val="00C2770B"/>
    <w:rsid w:val="00EB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A960"/>
  <w15:docId w15:val="{54F00ABB-9371-4161-B1C9-EA7E90B3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B3B07"/>
    <w:pPr>
      <w:tabs>
        <w:tab w:val="center" w:pos="4680"/>
        <w:tab w:val="right" w:pos="9360"/>
      </w:tabs>
      <w:spacing w:line="240" w:lineRule="auto"/>
    </w:pPr>
  </w:style>
  <w:style w:type="character" w:customStyle="1" w:styleId="HeaderChar">
    <w:name w:val="Header Char"/>
    <w:basedOn w:val="DefaultParagraphFont"/>
    <w:link w:val="Header"/>
    <w:uiPriority w:val="99"/>
    <w:rsid w:val="004B3B07"/>
  </w:style>
  <w:style w:type="paragraph" w:styleId="Footer">
    <w:name w:val="footer"/>
    <w:basedOn w:val="Normal"/>
    <w:link w:val="FooterChar"/>
    <w:uiPriority w:val="99"/>
    <w:unhideWhenUsed/>
    <w:rsid w:val="004B3B07"/>
    <w:pPr>
      <w:tabs>
        <w:tab w:val="center" w:pos="4680"/>
        <w:tab w:val="right" w:pos="9360"/>
      </w:tabs>
      <w:spacing w:line="240" w:lineRule="auto"/>
    </w:pPr>
  </w:style>
  <w:style w:type="character" w:customStyle="1" w:styleId="FooterChar">
    <w:name w:val="Footer Char"/>
    <w:basedOn w:val="DefaultParagraphFont"/>
    <w:link w:val="Footer"/>
    <w:uiPriority w:val="99"/>
    <w:rsid w:val="004B3B07"/>
  </w:style>
  <w:style w:type="character" w:styleId="CommentReference">
    <w:name w:val="annotation reference"/>
    <w:basedOn w:val="DefaultParagraphFont"/>
    <w:uiPriority w:val="99"/>
    <w:semiHidden/>
    <w:unhideWhenUsed/>
    <w:rsid w:val="00A50A5E"/>
    <w:rPr>
      <w:sz w:val="16"/>
      <w:szCs w:val="16"/>
    </w:rPr>
  </w:style>
  <w:style w:type="paragraph" w:styleId="CommentText">
    <w:name w:val="annotation text"/>
    <w:basedOn w:val="Normal"/>
    <w:link w:val="CommentTextChar"/>
    <w:uiPriority w:val="99"/>
    <w:semiHidden/>
    <w:unhideWhenUsed/>
    <w:rsid w:val="00A50A5E"/>
    <w:pPr>
      <w:spacing w:line="240" w:lineRule="auto"/>
    </w:pPr>
    <w:rPr>
      <w:sz w:val="20"/>
      <w:szCs w:val="20"/>
    </w:rPr>
  </w:style>
  <w:style w:type="character" w:customStyle="1" w:styleId="CommentTextChar">
    <w:name w:val="Comment Text Char"/>
    <w:basedOn w:val="DefaultParagraphFont"/>
    <w:link w:val="CommentText"/>
    <w:uiPriority w:val="99"/>
    <w:semiHidden/>
    <w:rsid w:val="00A50A5E"/>
    <w:rPr>
      <w:sz w:val="20"/>
      <w:szCs w:val="20"/>
    </w:rPr>
  </w:style>
  <w:style w:type="paragraph" w:styleId="CommentSubject">
    <w:name w:val="annotation subject"/>
    <w:basedOn w:val="CommentText"/>
    <w:next w:val="CommentText"/>
    <w:link w:val="CommentSubjectChar"/>
    <w:uiPriority w:val="99"/>
    <w:semiHidden/>
    <w:unhideWhenUsed/>
    <w:rsid w:val="00A50A5E"/>
    <w:rPr>
      <w:b/>
      <w:bCs/>
    </w:rPr>
  </w:style>
  <w:style w:type="character" w:customStyle="1" w:styleId="CommentSubjectChar">
    <w:name w:val="Comment Subject Char"/>
    <w:basedOn w:val="CommentTextChar"/>
    <w:link w:val="CommentSubject"/>
    <w:uiPriority w:val="99"/>
    <w:semiHidden/>
    <w:rsid w:val="00A50A5E"/>
    <w:rPr>
      <w:b/>
      <w:bCs/>
      <w:sz w:val="20"/>
      <w:szCs w:val="20"/>
    </w:rPr>
  </w:style>
  <w:style w:type="paragraph" w:styleId="BalloonText">
    <w:name w:val="Balloon Text"/>
    <w:basedOn w:val="Normal"/>
    <w:link w:val="BalloonTextChar"/>
    <w:uiPriority w:val="99"/>
    <w:semiHidden/>
    <w:unhideWhenUsed/>
    <w:rsid w:val="00A50A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A5E"/>
    <w:rPr>
      <w:rFonts w:ascii="Segoe UI" w:hAnsi="Segoe UI" w:cs="Segoe UI"/>
      <w:sz w:val="18"/>
      <w:szCs w:val="18"/>
    </w:rPr>
  </w:style>
  <w:style w:type="character" w:styleId="Hyperlink">
    <w:name w:val="Hyperlink"/>
    <w:basedOn w:val="DefaultParagraphFont"/>
    <w:uiPriority w:val="99"/>
    <w:unhideWhenUsed/>
    <w:rsid w:val="00A50A5E"/>
    <w:rPr>
      <w:color w:val="0000FF" w:themeColor="hyperlink"/>
      <w:u w:val="single"/>
    </w:rPr>
  </w:style>
  <w:style w:type="character" w:customStyle="1" w:styleId="UnresolvedMention1">
    <w:name w:val="Unresolved Mention1"/>
    <w:basedOn w:val="DefaultParagraphFont"/>
    <w:uiPriority w:val="99"/>
    <w:semiHidden/>
    <w:unhideWhenUsed/>
    <w:rsid w:val="00A50A5E"/>
    <w:rPr>
      <w:color w:val="605E5C"/>
      <w:shd w:val="clear" w:color="auto" w:fill="E1DFDD"/>
    </w:rPr>
  </w:style>
  <w:style w:type="character" w:styleId="FollowedHyperlink">
    <w:name w:val="FollowedHyperlink"/>
    <w:basedOn w:val="DefaultParagraphFont"/>
    <w:uiPriority w:val="99"/>
    <w:semiHidden/>
    <w:unhideWhenUsed/>
    <w:rsid w:val="00A50A5E"/>
    <w:rPr>
      <w:color w:val="800080" w:themeColor="followedHyperlink"/>
      <w:u w:val="single"/>
    </w:rPr>
  </w:style>
  <w:style w:type="paragraph" w:styleId="ListParagraph">
    <w:name w:val="List Paragraph"/>
    <w:basedOn w:val="Normal"/>
    <w:uiPriority w:val="34"/>
    <w:qFormat/>
    <w:rsid w:val="00731DFA"/>
    <w:pPr>
      <w:ind w:left="720"/>
      <w:contextualSpacing/>
    </w:pPr>
  </w:style>
  <w:style w:type="character" w:styleId="UnresolvedMention">
    <w:name w:val="Unresolved Mention"/>
    <w:basedOn w:val="DefaultParagraphFont"/>
    <w:uiPriority w:val="99"/>
    <w:semiHidden/>
    <w:unhideWhenUsed/>
    <w:rsid w:val="00161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doe.virginia.gov/teaching-learning-assessment/k-12-standards-instruction/mathematics" TargetMode="External"/><Relationship Id="rId18" Type="http://schemas.openxmlformats.org/officeDocument/2006/relationships/hyperlink" Target="https://www.doe.virginia.gov/home/showpublisheddocument/28625/638090424862930000" TargetMode="External"/><Relationship Id="rId26" Type="http://schemas.openxmlformats.org/officeDocument/2006/relationships/hyperlink" Target="https://intensiveintervention.org/intervention-resources/mathematics-strategies-support-intensifying-interventions" TargetMode="External"/><Relationship Id="rId21" Type="http://schemas.openxmlformats.org/officeDocument/2006/relationships/hyperlink" Target="https://www.doe.virginia.gov/teaching-learning-assessment/k-12-standards-instruction/mathematics/instructional-resources/rich-mathematical-task" TargetMode="External"/><Relationship Id="rId34" Type="http://schemas.openxmlformats.org/officeDocument/2006/relationships/hyperlink" Target="https://www.pathstoliteracy.org/strategies/functional-number-line-students-cvi" TargetMode="External"/><Relationship Id="rId7" Type="http://schemas.openxmlformats.org/officeDocument/2006/relationships/settings" Target="settings.xml"/><Relationship Id="rId12" Type="http://schemas.openxmlformats.org/officeDocument/2006/relationships/hyperlink" Target="https://www.doe.virginia.gov/programs-services/special-education/specific-disabilities/learning-disability/learning-disabilities-in-mathematics" TargetMode="External"/><Relationship Id="rId17" Type="http://schemas.openxmlformats.org/officeDocument/2006/relationships/hyperlink" Target="https://www.doe.virginia.gov/teaching-learning-assessment/instruction/mathematics/standards-of-learning-for-mathematics/desmos-online-calculator" TargetMode="External"/><Relationship Id="rId25" Type="http://schemas.openxmlformats.org/officeDocument/2006/relationships/hyperlink" Target="https://intensiveintervention.org/intervention-resources/mathematics-strategies-support-intensifying-interventions" TargetMode="External"/><Relationship Id="rId33" Type="http://schemas.openxmlformats.org/officeDocument/2006/relationships/hyperlink" Target="https://www.geogebra.org/?lang=e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virginia.gov/home/showpublisheddocument/24013/638043924313170000" TargetMode="External"/><Relationship Id="rId20" Type="http://schemas.openxmlformats.org/officeDocument/2006/relationships/hyperlink" Target="https://www.doe.virginia.gov/teaching-learning-assessment/k-12-standards-instruction/mathematics/instructional-resources/mathematics-vocabulary-word-wall-cards" TargetMode="External"/><Relationship Id="rId29" Type="http://schemas.openxmlformats.org/officeDocument/2006/relationships/hyperlink" Target="https://intensiveintervention.org/intervention-resources/mathematics-strategies-support-intensifying-interven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teaching-learning-assessment/instruction/mathematics/standards-of-learning-for-mathematics" TargetMode="External"/><Relationship Id="rId24" Type="http://schemas.openxmlformats.org/officeDocument/2006/relationships/hyperlink" Target="https://goopenva.org/" TargetMode="External"/><Relationship Id="rId32" Type="http://schemas.openxmlformats.org/officeDocument/2006/relationships/hyperlink" Target="https://toytheater.com/category/teacher-tools/virtual-manipulativ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taconline.org/Document/zxbIhX_YCJPizPDVq0wXjWoOPDQhKEYC/Mathematics_Vertical_Articulation_Grades_3_HS_VESOL_by_Strand_Concepts_.docx" TargetMode="External"/><Relationship Id="rId23" Type="http://schemas.openxmlformats.org/officeDocument/2006/relationships/hyperlink" Target="https://www.doe.virginia.gov/home/showpublisheddocument/28607/638090425150300000" TargetMode="External"/><Relationship Id="rId28" Type="http://schemas.openxmlformats.org/officeDocument/2006/relationships/hyperlink" Target="https://intensiveintervention.org/intervention-resources/mathematics-strategies-support-intensifying-intervention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oe.virginia.gov/teaching-learning-assessment/k-12-standards-instruction/mathematics/instructional-resources/just-in-time-mathematics-quick-checks" TargetMode="External"/><Relationship Id="rId31" Type="http://schemas.openxmlformats.org/officeDocument/2006/relationships/hyperlink" Target="http://nlvm.usu.edu/en/nav/vlibrar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teaching-learning-assessment/k-12-standards-instruction/mathematics/instructional-resources/algebra-readiness-initiative/mathematics-vertical-articulation-tool-mvat" TargetMode="External"/><Relationship Id="rId22" Type="http://schemas.openxmlformats.org/officeDocument/2006/relationships/hyperlink" Target="https://www.doe.virginia.gov/teaching-learning-assessment/k-12-standards-instruction/mathematics/instructional-resources/mathematics-instructional-plans-mips" TargetMode="External"/><Relationship Id="rId27" Type="http://schemas.openxmlformats.org/officeDocument/2006/relationships/hyperlink" Target="https://intensiveintervention.org/intervention-resources/mathematics-strategies-support-intensifying-interventions" TargetMode="External"/><Relationship Id="rId30" Type="http://schemas.openxmlformats.org/officeDocument/2006/relationships/hyperlink" Target="https://www.ldatschool.ca/learning-modules/cra-strategies/the-cra-strategy/"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KJEYA8b7zeeksh4B8xpXMohpGg==">AMUW2mWrXSZ422B5K3DQ4w8t5nVh5W6VpgvcJfKEi09pMKktDQ3ZnIut02QGaEey5dDUBP+bJ03JgQfVF3LGxb//mmqNPlD9FkHMNqBL0hWnbo0rPxDxM1xzzEky/8ipnN3cKQH7Be+9i+KApIf6efkRzgjdRDFSv3Yp41HgCefN32SowQ1Sp1c3U0SUfj/iy5f6G9V4iKKeKwvEfABZqvPmw/wmBzbrZQ==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5" ma:contentTypeDescription="Create a new document." ma:contentTypeScope="" ma:versionID="98aef8345c01639464b4ade132b24895">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1c5b81ad547dc1b0ba7241718f3a18a2"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D901F1-2D42-4231-BAE6-3261759DF8E5}">
  <ds:schemaRefs>
    <ds:schemaRef ds:uri="http://purl.org/dc/terms/"/>
    <ds:schemaRef ds:uri="http://schemas.microsoft.com/office/2006/documentManagement/types"/>
    <ds:schemaRef ds:uri="e57f6c35-541a-4073-a2f6-49dc8be0127c"/>
    <ds:schemaRef ds:uri="http://schemas.microsoft.com/office/2006/metadata/properties"/>
    <ds:schemaRef ds:uri="http://purl.org/dc/dcmitype/"/>
    <ds:schemaRef ds:uri="http://schemas.openxmlformats.org/package/2006/metadata/core-properties"/>
    <ds:schemaRef ds:uri="67ced3dd-177e-454b-b64a-ad68f0d994e1"/>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59FA5BAF-9394-4B28-B270-FB6822FEC654}">
  <ds:schemaRefs>
    <ds:schemaRef ds:uri="http://schemas.microsoft.com/sharepoint/v3/contenttype/forms"/>
  </ds:schemaRefs>
</ds:datastoreItem>
</file>

<file path=customXml/itemProps4.xml><?xml version="1.0" encoding="utf-8"?>
<ds:datastoreItem xmlns:ds="http://schemas.openxmlformats.org/officeDocument/2006/customXml" ds:itemID="{FCF33197-FC07-46E7-A771-4D9438AD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VESOL Mathematics Instruction Resources</dc:title>
  <dc:creator>Karen S Berlin</dc:creator>
  <cp:lastModifiedBy>Karen S Berlin</cp:lastModifiedBy>
  <cp:revision>2</cp:revision>
  <dcterms:created xsi:type="dcterms:W3CDTF">2023-04-04T15:49:00Z</dcterms:created>
  <dcterms:modified xsi:type="dcterms:W3CDTF">2023-04-04T15:49:00Z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