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3" w:rsidRPr="007C22F3" w:rsidRDefault="003135F3" w:rsidP="003135F3">
      <w:pPr>
        <w:shd w:val="clear" w:color="auto" w:fill="FFFFFF"/>
        <w:spacing w:before="100" w:beforeAutospacing="1" w:after="100" w:afterAutospacing="1" w:line="240" w:lineRule="auto"/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</w:pPr>
      <w:bookmarkStart w:id="0" w:name="_GoBack"/>
      <w:bookmarkEnd w:id="0"/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>Outreach Services, VSDB presents</w:t>
      </w:r>
    </w:p>
    <w:p w:rsidR="0080700A" w:rsidRDefault="0080700A" w:rsidP="00B56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9"/>
          <w:szCs w:val="21"/>
          <w:lang w:val="en"/>
        </w:rPr>
      </w:pPr>
      <w:r>
        <w:rPr>
          <w:rFonts w:ascii="citrixsans-regular" w:eastAsia="Times New Roman" w:hAnsi="citrixsans-regular" w:cs="Arial"/>
          <w:b/>
          <w:noProof/>
          <w:color w:val="333333"/>
          <w:sz w:val="29"/>
          <w:szCs w:val="21"/>
        </w:rPr>
        <w:drawing>
          <wp:inline distT="0" distB="0" distL="0" distR="0">
            <wp:extent cx="523875" cy="707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fish on bea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32" cy="71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F0" w:rsidRPr="007C22F3" w:rsidRDefault="003135F3" w:rsidP="003135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</w:pPr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 xml:space="preserve">Setting Language in Motion </w:t>
      </w:r>
      <w:r w:rsidRPr="007C22F3">
        <w:rPr>
          <w:rFonts w:ascii="citrixsans-regular" w:eastAsia="Times New Roman" w:hAnsi="citrixsans-regular" w:cs="Arial"/>
          <w:b/>
          <w:i/>
          <w:color w:val="333333"/>
          <w:sz w:val="24"/>
          <w:szCs w:val="24"/>
          <w:lang w:val="en"/>
        </w:rPr>
        <w:t xml:space="preserve">and </w:t>
      </w:r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>Students with Cochlear Implants: Guidelines for Educational Program Planning</w:t>
      </w:r>
    </w:p>
    <w:p w:rsidR="003135F3" w:rsidRPr="007C22F3" w:rsidRDefault="003135F3" w:rsidP="00B56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</w:pPr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 xml:space="preserve">Presented by Terrell Clark, Ph.D., Boston Children’s Hospital and </w:t>
      </w:r>
    </w:p>
    <w:p w:rsidR="00B56BF0" w:rsidRPr="007C22F3" w:rsidRDefault="003135F3" w:rsidP="00B56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</w:pPr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>Katie Prins McCarthy, MBA, Harvard University</w:t>
      </w:r>
    </w:p>
    <w:p w:rsidR="00B56BF0" w:rsidRPr="007C22F3" w:rsidRDefault="003135F3" w:rsidP="00B56B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</w:pPr>
      <w:r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>April 20, 2016</w:t>
      </w:r>
      <w:r w:rsidR="00B56BF0" w:rsidRPr="007C22F3">
        <w:rPr>
          <w:rFonts w:ascii="citrixsans-regular" w:eastAsia="Times New Roman" w:hAnsi="citrixsans-regular" w:cs="Arial"/>
          <w:b/>
          <w:color w:val="333333"/>
          <w:sz w:val="24"/>
          <w:szCs w:val="24"/>
          <w:lang w:val="en"/>
        </w:rPr>
        <w:t>, 4:00 PM EDT</w:t>
      </w:r>
    </w:p>
    <w:p w:rsidR="00B56BF0" w:rsidRDefault="00B56BF0" w:rsidP="00B56BF0">
      <w:pPr>
        <w:shd w:val="clear" w:color="auto" w:fill="FFFFFF"/>
        <w:spacing w:before="100" w:beforeAutospacing="1" w:after="100" w:afterAutospacing="1" w:line="240" w:lineRule="auto"/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</w:pPr>
    </w:p>
    <w:p w:rsidR="007C22F3" w:rsidRDefault="00F63DE2" w:rsidP="007C22F3">
      <w:pPr>
        <w:spacing w:before="100" w:beforeAutospacing="1" w:after="100" w:afterAutospacing="1" w:line="240" w:lineRule="auto"/>
        <w:outlineLvl w:val="0"/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</w:pPr>
      <w:r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R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egister</w:t>
      </w:r>
      <w:r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now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for </w:t>
      </w:r>
      <w:r w:rsid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“</w:t>
      </w:r>
      <w:r w:rsidR="003135F3" w:rsidRPr="003135F3">
        <w:rPr>
          <w:rFonts w:ascii="citrixsans-regular" w:eastAsia="Times New Roman" w:hAnsi="citrixsans-regular" w:cs="Arial"/>
          <w:color w:val="333333"/>
          <w:lang w:val="en"/>
        </w:rPr>
        <w:t xml:space="preserve">Setting Language in Motion </w:t>
      </w:r>
      <w:r w:rsidR="003135F3" w:rsidRPr="003135F3">
        <w:rPr>
          <w:rFonts w:ascii="citrixsans-regular" w:eastAsia="Times New Roman" w:hAnsi="citrixsans-regular" w:cs="Arial"/>
          <w:i/>
          <w:color w:val="333333"/>
          <w:lang w:val="en"/>
        </w:rPr>
        <w:t xml:space="preserve">and </w:t>
      </w:r>
      <w:r w:rsidR="003135F3" w:rsidRPr="003135F3">
        <w:rPr>
          <w:rFonts w:ascii="citrixsans-regular" w:eastAsia="Times New Roman" w:hAnsi="citrixsans-regular" w:cs="Arial"/>
          <w:color w:val="333333"/>
          <w:lang w:val="en"/>
        </w:rPr>
        <w:t>Students with Cochlear Implants: Guidelines for Educational Program Planning</w:t>
      </w:r>
      <w:r w:rsidR="003135F3">
        <w:rPr>
          <w:rFonts w:ascii="citrixsans-regular" w:eastAsia="Times New Roman" w:hAnsi="citrixsans-regular" w:cs="Arial"/>
          <w:color w:val="333333"/>
          <w:lang w:val="en"/>
        </w:rPr>
        <w:t>”</w:t>
      </w:r>
      <w:r w:rsidR="007963B5">
        <w:rPr>
          <w:rFonts w:ascii="citrixsans-regular" w:eastAsia="Times New Roman" w:hAnsi="citrixsans-regular" w:cs="Arial"/>
          <w:color w:val="333333"/>
          <w:lang w:val="en"/>
        </w:rPr>
        <w:t xml:space="preserve"> 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on </w:t>
      </w:r>
      <w:r w:rsidR="003135F3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April</w:t>
      </w:r>
      <w:r w:rsid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. </w:t>
      </w:r>
      <w:r w:rsidR="003135F3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20, 2016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4:00 PM EDT at: 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hyperlink r:id="rId7" w:history="1">
        <w:r w:rsidR="00604E85" w:rsidRPr="00604E85">
          <w:rPr>
            <w:rFonts w:ascii="citrixsans-regular" w:hAnsi="citrixsans-regular"/>
            <w:color w:val="389ED8"/>
            <w:sz w:val="26"/>
            <w:szCs w:val="18"/>
            <w:bdr w:val="none" w:sz="0" w:space="0" w:color="auto" w:frame="1"/>
            <w:shd w:val="clear" w:color="auto" w:fill="FFFFFF"/>
          </w:rPr>
          <w:t>https://attendee.gotowebinar.com/register/8088162938477124100</w:t>
        </w:r>
      </w:hyperlink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</w:p>
    <w:p w:rsidR="007C22F3" w:rsidRDefault="00933249" w:rsidP="007C22F3">
      <w:pPr>
        <w:spacing w:before="100" w:beforeAutospacing="1" w:after="100" w:afterAutospacing="1" w:line="240" w:lineRule="auto"/>
        <w:outlineLvl w:val="0"/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</w:pPr>
      <w:r w:rsidRPr="003457CE">
        <w:rPr>
          <w:rFonts w:ascii="citrixsans-regular" w:eastAsia="Times New Roman" w:hAnsi="citrixsans-regular" w:cs="Arial"/>
          <w:b/>
          <w:color w:val="333333"/>
          <w:sz w:val="21"/>
          <w:szCs w:val="21"/>
          <w:lang w:val="en"/>
        </w:rPr>
        <w:t>Two</w:t>
      </w:r>
      <w:r w:rsidR="007C22F3" w:rsidRPr="003457CE">
        <w:rPr>
          <w:rFonts w:ascii="citrixsans-regular" w:eastAsia="Times New Roman" w:hAnsi="citrixsans-regular" w:cs="Arial"/>
          <w:b/>
          <w:color w:val="333333"/>
          <w:sz w:val="21"/>
          <w:szCs w:val="21"/>
          <w:lang w:val="en"/>
        </w:rPr>
        <w:t xml:space="preserve"> new resources</w:t>
      </w:r>
      <w:r w:rsidR="007C22F3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will be introduced by the presenters:</w:t>
      </w:r>
    </w:p>
    <w:p w:rsidR="00933249" w:rsidRPr="003457CE" w:rsidRDefault="007C22F3" w:rsidP="003457CE">
      <w:pPr>
        <w:spacing w:before="100" w:beforeAutospacing="1" w:after="100" w:afterAutospacing="1" w:line="240" w:lineRule="auto"/>
        <w:outlineLvl w:val="0"/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</w:pPr>
      <w:r w:rsidRPr="003457CE">
        <w:rPr>
          <w:rFonts w:ascii="citrixsans-regular" w:eastAsia="Times New Roman" w:hAnsi="citrixsans-regular" w:cs="Arial"/>
          <w:b/>
          <w:i/>
          <w:color w:val="333333"/>
          <w:sz w:val="21"/>
          <w:szCs w:val="21"/>
          <w:lang w:val="en"/>
        </w:rPr>
        <w:t>Setting Language in Motion:  Family Supports and Early Intervention for Babies Who are Deaf and Hard of Hearing</w:t>
      </w:r>
      <w:r w:rsidRPr="003457CE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is a collaborative effort between the Clerc Center and Boston Children’s Hospital for early intervention providers, educators of children who are deaf/hh, early childhood educators, parents and other caregivers.  Presenters will discuss the seven modules now available online that share inform</w:t>
      </w:r>
      <w:r w:rsidR="00933249" w:rsidRPr="003457CE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ation critical to promoting earl</w:t>
      </w:r>
      <w:r w:rsidRPr="003457CE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y language acquisition for young children who are deaf or hard of hearing.  </w:t>
      </w:r>
    </w:p>
    <w:p w:rsidR="00921FA8" w:rsidRPr="00933249" w:rsidRDefault="007C22F3" w:rsidP="00933249">
      <w:pPr>
        <w:spacing w:before="100" w:beforeAutospacing="1" w:after="100" w:afterAutospacing="1" w:line="240" w:lineRule="auto"/>
        <w:outlineLvl w:val="0"/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</w:pPr>
      <w:r w:rsidRPr="007C22F3">
        <w:rPr>
          <w:rFonts w:ascii="citrixsans-regular" w:eastAsia="Times New Roman" w:hAnsi="citrixsans-regular" w:cs="Arial"/>
          <w:b/>
          <w:i/>
          <w:color w:val="333333"/>
          <w:sz w:val="21"/>
          <w:szCs w:val="21"/>
          <w:lang w:val="en"/>
        </w:rPr>
        <w:t>Students with Cochlear Implants: Guidelines for Educational Planning</w:t>
      </w:r>
      <w:r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 is a tool designed to facilitate planning discussions surrounding the educational supports and services essential for each students using cochlear implant technology.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  <w:t xml:space="preserve">This one hour webinar can be accessed from any location. A certificate of participation will be provided for those who complete a short survey at the conclusion. 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  <w:t>Wednesday Webinars are sponsored by Outreach Services of the Virginia School for the Deaf and the Blind, through grant funding from the Virginia Department of Education.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  <w:t>Debbie Pfeiffer, Ed.D.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  <w:t>Director, Outreach Services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br/>
        <w:t xml:space="preserve">After registering, you will receive a confirmation email </w:t>
      </w:r>
      <w:r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 xml:space="preserve">from GoToWebinar </w:t>
      </w:r>
      <w:r w:rsidR="00B56BF0" w:rsidRPr="00B56BF0"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containing informat</w:t>
      </w:r>
      <w:r>
        <w:rPr>
          <w:rFonts w:ascii="citrixsans-regular" w:eastAsia="Times New Roman" w:hAnsi="citrixsans-regular" w:cs="Arial"/>
          <w:color w:val="333333"/>
          <w:sz w:val="21"/>
          <w:szCs w:val="21"/>
          <w:lang w:val="en"/>
        </w:rPr>
        <w:t>ion about joining the webinar.</w:t>
      </w:r>
    </w:p>
    <w:sectPr w:rsidR="00921FA8" w:rsidRPr="00933249" w:rsidSect="00235D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trixsans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066"/>
    <w:multiLevelType w:val="hybridMultilevel"/>
    <w:tmpl w:val="26609E9A"/>
    <w:lvl w:ilvl="0" w:tplc="928C88D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0"/>
    <w:rsid w:val="000B7A21"/>
    <w:rsid w:val="00235DFC"/>
    <w:rsid w:val="003135F3"/>
    <w:rsid w:val="003457CE"/>
    <w:rsid w:val="00455466"/>
    <w:rsid w:val="0052478B"/>
    <w:rsid w:val="005D71B1"/>
    <w:rsid w:val="00604E85"/>
    <w:rsid w:val="007963B5"/>
    <w:rsid w:val="007C22F3"/>
    <w:rsid w:val="0080700A"/>
    <w:rsid w:val="00933249"/>
    <w:rsid w:val="00B56BF0"/>
    <w:rsid w:val="00B85708"/>
    <w:rsid w:val="00F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5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9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ttendee.gotowebinar.com/register/8088162938477124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2016-03-24T19:08:00Z</dcterms:created>
  <dcterms:modified xsi:type="dcterms:W3CDTF">2016-03-24T19:08:00Z</dcterms:modified>
</cp:coreProperties>
</file>