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447093">
      <w:pPr>
        <w:jc w:val="center"/>
        <w:rPr>
          <w:b/>
          <w:smallCaps/>
          <w:sz w:val="72"/>
        </w:rPr>
      </w:pPr>
      <w:r>
        <w:rPr>
          <w:b/>
          <w:smallCaps/>
          <w:sz w:val="72"/>
        </w:rPr>
        <w:t xml:space="preserve">English: Reading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E10CCE">
      <w:pPr>
        <w:jc w:val="center"/>
        <w:rPr>
          <w:b/>
          <w:sz w:val="52"/>
        </w:rPr>
      </w:pPr>
      <w:r>
        <w:rPr>
          <w:b/>
          <w:sz w:val="52"/>
        </w:rPr>
        <w:t xml:space="preserve">GRADE </w:t>
      </w:r>
      <w:r w:rsidR="008069FB">
        <w:rPr>
          <w:b/>
          <w:sz w:val="52"/>
        </w:rPr>
        <w:t>5</w:t>
      </w:r>
    </w:p>
    <w:p w:rsidR="00447093" w:rsidRDefault="00447093">
      <w:pPr>
        <w:jc w:val="center"/>
        <w:rPr>
          <w:b/>
          <w:sz w:val="52"/>
        </w:rPr>
      </w:pPr>
      <w:r>
        <w:rPr>
          <w:b/>
          <w:sz w:val="52"/>
        </w:rPr>
        <w:t xml:space="preserve"> </w:t>
      </w:r>
    </w:p>
    <w:p w:rsidR="00FA6928" w:rsidRDefault="00F1190D" w:rsidP="00FA6928">
      <w:pPr>
        <w:jc w:val="center"/>
        <w:rPr>
          <w:b/>
          <w:sz w:val="52"/>
        </w:rPr>
      </w:pPr>
      <w:r>
        <w:rPr>
          <w:b/>
          <w:noProof/>
          <w:sz w:val="52"/>
        </w:rPr>
        <w:drawing>
          <wp:inline distT="0" distB="0" distL="0" distR="0">
            <wp:extent cx="2418080" cy="2164080"/>
            <wp:effectExtent l="0" t="0" r="0" b="762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AppData\Local\Microsoft\Windows\Temporary Internet Files\Low\Content.IE5\P76EXNS9\MC9004123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080" cy="2164080"/>
                    </a:xfrm>
                    <a:prstGeom prst="rect">
                      <a:avLst/>
                    </a:prstGeom>
                    <a:noFill/>
                    <a:ln>
                      <a:noFill/>
                    </a:ln>
                  </pic:spPr>
                </pic:pic>
              </a:graphicData>
            </a:graphic>
          </wp:inline>
        </w:drawing>
      </w:r>
    </w:p>
    <w:p w:rsidR="00447093" w:rsidRPr="00FA6928" w:rsidRDefault="00FA6928" w:rsidP="00FA6928">
      <w:pPr>
        <w:rPr>
          <w:b/>
          <w:sz w:val="52"/>
        </w:rPr>
      </w:pPr>
      <w:r>
        <w:rPr>
          <w:b/>
          <w:sz w:val="52"/>
        </w:rPr>
        <w:br w:type="page"/>
      </w:r>
      <w:bookmarkStart w:id="0" w:name="_GoBack"/>
      <w:bookmarkEnd w:id="0"/>
    </w:p>
    <w:p w:rsidR="00447093" w:rsidRDefault="00447093">
      <w:pPr>
        <w:ind w:right="540"/>
        <w:jc w:val="right"/>
        <w:rPr>
          <w:b/>
          <w:spacing w:val="2"/>
          <w:sz w:val="22"/>
        </w:rPr>
      </w:pPr>
      <w:r>
        <w:rPr>
          <w:b/>
          <w:spacing w:val="2"/>
          <w:sz w:val="22"/>
        </w:rPr>
        <w:lastRenderedPageBreak/>
        <w:t xml:space="preserve"> </w:t>
      </w:r>
    </w:p>
    <w:p w:rsidR="00447093" w:rsidRDefault="00447093">
      <w:pPr>
        <w:pStyle w:val="Heading1"/>
      </w:pPr>
      <w:r>
        <w:t xml:space="preserve">StaNDARD </w:t>
      </w:r>
      <w:r w:rsidR="008069FB">
        <w:t>5e-rw1</w:t>
      </w:r>
      <w:r>
        <w:tab/>
      </w:r>
      <w:r w:rsidR="008A6B21">
        <w:t>REPORTING CATEGORY:</w:t>
      </w:r>
      <w:r>
        <w:t xml:space="preserve"> </w:t>
      </w:r>
      <w:r w:rsidR="008A6B21">
        <w:t>wORD aNALYSIS</w:t>
      </w:r>
      <w:r w:rsidR="00545B12">
        <w:tab/>
        <w:t>content: Reading</w:t>
      </w:r>
      <w:r>
        <w:tab/>
      </w:r>
    </w:p>
    <w:p w:rsidR="00447093" w:rsidRDefault="00447093"/>
    <w:p w:rsidR="00447093" w:rsidRDefault="00894178">
      <w:pPr>
        <w:pStyle w:val="SOLStandard"/>
      </w:pPr>
      <w:r>
        <w:t>5</w:t>
      </w:r>
      <w:r w:rsidR="00447093">
        <w:t>E-R</w:t>
      </w:r>
      <w:r w:rsidR="008A6B21">
        <w:t>W</w:t>
      </w:r>
      <w:r w:rsidR="00DB4182">
        <w:t>1</w:t>
      </w:r>
      <w:r w:rsidR="00DB4182">
        <w:tab/>
        <w:t>The student will</w:t>
      </w:r>
    </w:p>
    <w:p w:rsidR="00447093" w:rsidRDefault="008A3C37">
      <w:pPr>
        <w:pStyle w:val="SOLBullet"/>
      </w:pPr>
      <w:r>
        <w:t>a)</w:t>
      </w:r>
      <w:r>
        <w:tab/>
      </w:r>
      <w:proofErr w:type="gramStart"/>
      <w:r w:rsidR="00894178">
        <w:t>after</w:t>
      </w:r>
      <w:proofErr w:type="gramEnd"/>
      <w:r w:rsidR="00894178">
        <w:t xml:space="preserve"> listening to or reading a familiar text, determine the meanings of words and phrases</w:t>
      </w:r>
      <w:r w:rsidR="00DB4182">
        <w:t>;</w:t>
      </w:r>
    </w:p>
    <w:p w:rsidR="00447093" w:rsidRDefault="00447093">
      <w:pPr>
        <w:pStyle w:val="SOLBullet"/>
      </w:pPr>
      <w:r>
        <w:t>b</w:t>
      </w:r>
      <w:r w:rsidR="008A3C37">
        <w:t>)</w:t>
      </w:r>
      <w:r w:rsidR="008A3C37">
        <w:tab/>
      </w:r>
      <w:proofErr w:type="gramStart"/>
      <w:r w:rsidR="00894178">
        <w:t>apply</w:t>
      </w:r>
      <w:proofErr w:type="gramEnd"/>
      <w:r w:rsidR="00894178">
        <w:t xml:space="preserve"> phonics and word analysis skills in decoding words by decoding two-syllable words</w:t>
      </w:r>
      <w:r w:rsidR="00DB4182">
        <w:t>;</w:t>
      </w:r>
    </w:p>
    <w:p w:rsidR="00447093" w:rsidRDefault="008A3C37">
      <w:pPr>
        <w:pStyle w:val="SOLBullet"/>
      </w:pPr>
      <w:r>
        <w:t>c)</w:t>
      </w:r>
      <w:r>
        <w:tab/>
      </w:r>
      <w:proofErr w:type="gramStart"/>
      <w:r w:rsidR="00894178">
        <w:t>read</w:t>
      </w:r>
      <w:proofErr w:type="gramEnd"/>
      <w:r w:rsidR="00894178">
        <w:t xml:space="preserve"> more than 20 common high-frequency words</w:t>
      </w:r>
      <w:r w:rsidR="00DB4182">
        <w:t>;</w:t>
      </w:r>
    </w:p>
    <w:p w:rsidR="00894178" w:rsidRDefault="00894178">
      <w:pPr>
        <w:pStyle w:val="SOLBullet"/>
      </w:pPr>
      <w:r>
        <w:t xml:space="preserve">d)  </w:t>
      </w:r>
      <w:proofErr w:type="gramStart"/>
      <w:r>
        <w:t>use</w:t>
      </w:r>
      <w:proofErr w:type="gramEnd"/>
      <w:r>
        <w:t xml:space="preserve"> context clues to determine the meaning of vocabulary words drawn from reading and other content areas;</w:t>
      </w:r>
    </w:p>
    <w:p w:rsidR="00894178" w:rsidRDefault="00894178">
      <w:pPr>
        <w:pStyle w:val="SOLBullet"/>
        <w:rPr>
          <w:i/>
        </w:rPr>
      </w:pPr>
      <w:r>
        <w:t xml:space="preserve">e)  </w:t>
      </w:r>
      <w:proofErr w:type="gramStart"/>
      <w:r>
        <w:t>demonstrate</w:t>
      </w:r>
      <w:proofErr w:type="gramEnd"/>
      <w:r>
        <w:t xml:space="preserve"> understanding of word relationships by using simple, common idioms (e.g., </w:t>
      </w:r>
      <w:r>
        <w:rPr>
          <w:i/>
        </w:rPr>
        <w:t>You bet!, It’s a deal., We’re cool.);</w:t>
      </w:r>
    </w:p>
    <w:p w:rsidR="00447093" w:rsidRDefault="00894178">
      <w:pPr>
        <w:pStyle w:val="SOLBullet"/>
      </w:pPr>
      <w:r>
        <w:t xml:space="preserve">f)   </w:t>
      </w:r>
      <w:proofErr w:type="gramStart"/>
      <w:r>
        <w:t>demonstrate</w:t>
      </w:r>
      <w:proofErr w:type="gramEnd"/>
      <w:r>
        <w:t xml:space="preserve"> understanding of content-specific words</w:t>
      </w:r>
      <w:r w:rsidR="00DB4182">
        <w:t>.</w:t>
      </w:r>
    </w:p>
    <w:p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447093" w:rsidTr="00A830B0">
        <w:trPr>
          <w:cantSplit/>
          <w:trHeight w:hRule="exact" w:val="695"/>
        </w:trPr>
        <w:tc>
          <w:tcPr>
            <w:tcW w:w="468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97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894178">
        <w:trPr>
          <w:cantSplit/>
          <w:trHeight w:hRule="exact" w:val="6374"/>
        </w:trPr>
        <w:tc>
          <w:tcPr>
            <w:tcW w:w="4680" w:type="dxa"/>
          </w:tcPr>
          <w:p w:rsidR="00894178" w:rsidRPr="001026A9" w:rsidRDefault="00894178" w:rsidP="00894178">
            <w:pPr>
              <w:pStyle w:val="Bullet1"/>
            </w:pPr>
            <w:r w:rsidRPr="001026A9">
              <w:t>The intent of this standard is that students will continue to build vocabulary by applying their knowledge of word structure and context clues to determine the meanings of unfamiliar words.</w:t>
            </w:r>
          </w:p>
          <w:p w:rsidR="00894178" w:rsidRPr="001026A9" w:rsidRDefault="00894178" w:rsidP="00894178">
            <w:pPr>
              <w:pStyle w:val="Bullet1"/>
            </w:pPr>
            <w:r w:rsidRPr="001026A9">
              <w:t>Students will use combined knowledge of all letter-sound correspondences, syllabication patterns, roots, and affixes to read accurately multisyllabic words in context and out.</w:t>
            </w:r>
          </w:p>
          <w:p w:rsidR="00894178" w:rsidRPr="001026A9" w:rsidRDefault="00894178" w:rsidP="00894178">
            <w:pPr>
              <w:pStyle w:val="Bullet1"/>
            </w:pPr>
            <w:r w:rsidRPr="001026A9">
              <w:t>Students will build their knowledge of word origins by learning about Greek and Latin affixes.</w:t>
            </w:r>
          </w:p>
          <w:p w:rsidR="00894178" w:rsidRPr="001026A9" w:rsidRDefault="00894178" w:rsidP="00894178">
            <w:pPr>
              <w:pStyle w:val="Bullet1"/>
            </w:pPr>
            <w:r w:rsidRPr="001026A9">
              <w:t>Students will also use word-reference materials to learn new words.</w:t>
            </w:r>
          </w:p>
          <w:p w:rsidR="00894178" w:rsidRPr="001026A9" w:rsidRDefault="00894178" w:rsidP="00894178">
            <w:pPr>
              <w:pStyle w:val="Bullet1"/>
            </w:pPr>
            <w:r w:rsidRPr="001026A9">
              <w:rPr>
                <w:b/>
              </w:rPr>
              <w:t>Homophones</w:t>
            </w:r>
            <w:r w:rsidRPr="001026A9">
              <w:t xml:space="preserve"> are words that are pronounced the same and have different meanings regardless of their spelling (e.g., principle/ principal, prince/prints).</w:t>
            </w:r>
          </w:p>
          <w:p w:rsidR="00DB4182" w:rsidRPr="00DB4182" w:rsidRDefault="00894178" w:rsidP="00894178">
            <w:pPr>
              <w:pStyle w:val="Bullet1"/>
            </w:pPr>
            <w:r w:rsidRPr="001026A9">
              <w:t xml:space="preserve">An author may use a word or phrase </w:t>
            </w:r>
            <w:r w:rsidRPr="001026A9">
              <w:rPr>
                <w:i/>
              </w:rPr>
              <w:t>figuratively</w:t>
            </w:r>
            <w:r w:rsidRPr="001026A9">
              <w:t xml:space="preserve"> for purposes of comparison, emphasis, or to provide clarity. Such language requires the reader to comprehend beyond the literal meaning of the text.</w:t>
            </w:r>
          </w:p>
        </w:tc>
        <w:tc>
          <w:tcPr>
            <w:tcW w:w="2970" w:type="dxa"/>
          </w:tcPr>
          <w:p w:rsidR="00447093" w:rsidRPr="00506B46" w:rsidRDefault="00447093">
            <w:pPr>
              <w:pStyle w:val="BulletLeadIn"/>
              <w:rPr>
                <w:sz w:val="24"/>
                <w:szCs w:val="24"/>
              </w:rPr>
            </w:pPr>
            <w:r w:rsidRPr="00506B46">
              <w:rPr>
                <w:sz w:val="24"/>
                <w:szCs w:val="24"/>
              </w:rPr>
              <w:t>All students should</w:t>
            </w:r>
          </w:p>
          <w:p w:rsidR="00447093" w:rsidRDefault="00894178" w:rsidP="00A830B0">
            <w:pPr>
              <w:pStyle w:val="Bullet1"/>
            </w:pPr>
            <w:proofErr w:type="gramStart"/>
            <w:r w:rsidRPr="001026A9">
              <w:t>apply</w:t>
            </w:r>
            <w:proofErr w:type="gramEnd"/>
            <w:r w:rsidRPr="001026A9">
              <w:t xml:space="preserve"> knowledge of word structure and context clues to determine the meanings of unfamiliar words.</w:t>
            </w:r>
          </w:p>
        </w:tc>
        <w:tc>
          <w:tcPr>
            <w:tcW w:w="6750" w:type="dxa"/>
          </w:tcPr>
          <w:p w:rsidR="00447093" w:rsidRPr="000058F0" w:rsidRDefault="00447093">
            <w:pPr>
              <w:pStyle w:val="BulletLeadIn"/>
              <w:rPr>
                <w:sz w:val="24"/>
                <w:szCs w:val="24"/>
              </w:rPr>
            </w:pPr>
            <w:r w:rsidRPr="000058F0">
              <w:rPr>
                <w:sz w:val="24"/>
                <w:szCs w:val="24"/>
              </w:rPr>
              <w:t>To be successful with this standard, students are expected to</w:t>
            </w:r>
          </w:p>
          <w:p w:rsidR="00894178" w:rsidRPr="001026A9" w:rsidRDefault="00894178" w:rsidP="00234239">
            <w:pPr>
              <w:pStyle w:val="Bullet1"/>
              <w:numPr>
                <w:ilvl w:val="0"/>
                <w:numId w:val="31"/>
              </w:numPr>
            </w:pPr>
            <w:proofErr w:type="gramStart"/>
            <w:r w:rsidRPr="001026A9">
              <w:t>use</w:t>
            </w:r>
            <w:proofErr w:type="gramEnd"/>
            <w:r w:rsidRPr="001026A9">
              <w:t xml:space="preserve"> context as a clue to infer the correct meanings of unfamiliar words and phrases.</w:t>
            </w:r>
          </w:p>
          <w:p w:rsidR="00894178" w:rsidRPr="001026A9" w:rsidRDefault="00894178" w:rsidP="00234239">
            <w:pPr>
              <w:pStyle w:val="Bullet1"/>
              <w:numPr>
                <w:ilvl w:val="0"/>
                <w:numId w:val="31"/>
              </w:numPr>
            </w:pPr>
            <w:proofErr w:type="gramStart"/>
            <w:r w:rsidRPr="001026A9">
              <w:t>use</w:t>
            </w:r>
            <w:proofErr w:type="gramEnd"/>
            <w:r w:rsidRPr="001026A9">
              <w:t xml:space="preserve"> context and sentence structure to determine meanings and differentiate among multiple meanings of words.</w:t>
            </w:r>
          </w:p>
          <w:p w:rsidR="00894178" w:rsidRPr="001026A9" w:rsidRDefault="00894178" w:rsidP="00234239">
            <w:pPr>
              <w:pStyle w:val="Bullet1"/>
              <w:numPr>
                <w:ilvl w:val="0"/>
                <w:numId w:val="31"/>
              </w:numPr>
            </w:pPr>
            <w:proofErr w:type="gramStart"/>
            <w:r w:rsidRPr="001026A9">
              <w:t>apply</w:t>
            </w:r>
            <w:proofErr w:type="gramEnd"/>
            <w:r w:rsidRPr="001026A9">
              <w:t xml:space="preserve"> knowledge of roots, affixes (prefixes and suffixes), synonyms, antonyms, and homophones.</w:t>
            </w:r>
          </w:p>
          <w:p w:rsidR="00894178" w:rsidRPr="001026A9" w:rsidRDefault="00894178" w:rsidP="00234239">
            <w:pPr>
              <w:pStyle w:val="Bullet1"/>
              <w:numPr>
                <w:ilvl w:val="0"/>
                <w:numId w:val="31"/>
              </w:numPr>
            </w:pPr>
            <w:proofErr w:type="gramStart"/>
            <w:r w:rsidRPr="001026A9">
              <w:t>begin</w:t>
            </w:r>
            <w:proofErr w:type="gramEnd"/>
            <w:r w:rsidRPr="001026A9">
              <w:t xml:space="preserve"> to learn about Greek and Latin affixes.</w:t>
            </w:r>
          </w:p>
          <w:p w:rsidR="00894178" w:rsidRPr="001026A9" w:rsidRDefault="00894178" w:rsidP="00234239">
            <w:pPr>
              <w:pStyle w:val="Bullet1"/>
              <w:numPr>
                <w:ilvl w:val="0"/>
                <w:numId w:val="31"/>
              </w:numPr>
            </w:pPr>
            <w:proofErr w:type="gramStart"/>
            <w:r w:rsidRPr="001026A9">
              <w:t>understand</w:t>
            </w:r>
            <w:proofErr w:type="gramEnd"/>
            <w:r w:rsidRPr="001026A9">
              <w:t xml:space="preserve"> that often a word can be divided into root word, prefix, and suffix in order to determine its pronunciation.</w:t>
            </w:r>
          </w:p>
          <w:p w:rsidR="00894178" w:rsidRPr="001026A9" w:rsidRDefault="00894178" w:rsidP="00234239">
            <w:pPr>
              <w:pStyle w:val="Bullet1"/>
              <w:numPr>
                <w:ilvl w:val="0"/>
                <w:numId w:val="31"/>
              </w:numPr>
            </w:pPr>
            <w:proofErr w:type="gramStart"/>
            <w:r w:rsidRPr="001026A9">
              <w:t>understand</w:t>
            </w:r>
            <w:proofErr w:type="gramEnd"/>
            <w:r w:rsidRPr="001026A9">
              <w:t xml:space="preserve"> how a prefix changes the meaning of a root word.</w:t>
            </w:r>
          </w:p>
          <w:p w:rsidR="00894178" w:rsidRPr="001026A9" w:rsidRDefault="00894178" w:rsidP="00234239">
            <w:pPr>
              <w:pStyle w:val="Bullet1"/>
              <w:numPr>
                <w:ilvl w:val="0"/>
                <w:numId w:val="31"/>
              </w:numPr>
            </w:pPr>
            <w:proofErr w:type="gramStart"/>
            <w:r w:rsidRPr="001026A9">
              <w:t>identify</w:t>
            </w:r>
            <w:proofErr w:type="gramEnd"/>
            <w:r w:rsidRPr="001026A9">
              <w:t xml:space="preserve"> when an author uses language figuratively.</w:t>
            </w:r>
          </w:p>
          <w:p w:rsidR="00894178" w:rsidRPr="001026A9" w:rsidRDefault="00894178" w:rsidP="00234239">
            <w:pPr>
              <w:pStyle w:val="Bullet1"/>
              <w:numPr>
                <w:ilvl w:val="0"/>
                <w:numId w:val="31"/>
              </w:numPr>
            </w:pPr>
            <w:proofErr w:type="gramStart"/>
            <w:r w:rsidRPr="001026A9">
              <w:t>use</w:t>
            </w:r>
            <w:proofErr w:type="gramEnd"/>
            <w:r w:rsidRPr="001026A9">
              <w:t xml:space="preserve"> word references and context clues to determine which meaning is appropriate in a given situation.</w:t>
            </w:r>
          </w:p>
          <w:p w:rsidR="00234239" w:rsidRDefault="00894178" w:rsidP="00234239">
            <w:pPr>
              <w:pStyle w:val="Bullet1"/>
              <w:numPr>
                <w:ilvl w:val="0"/>
                <w:numId w:val="31"/>
              </w:numPr>
            </w:pPr>
            <w:proofErr w:type="gramStart"/>
            <w:r w:rsidRPr="001026A9">
              <w:t>identify</w:t>
            </w:r>
            <w:proofErr w:type="gramEnd"/>
            <w:r w:rsidRPr="001026A9">
              <w:t xml:space="preserve"> the word-reference materials, such as a dictionary, glossary, or thesaurus, that is most likely to contain the information needed.</w:t>
            </w:r>
          </w:p>
          <w:p w:rsidR="00894178" w:rsidRPr="001026A9" w:rsidRDefault="00894178" w:rsidP="00234239">
            <w:pPr>
              <w:pStyle w:val="Bullet1"/>
              <w:numPr>
                <w:ilvl w:val="0"/>
                <w:numId w:val="31"/>
              </w:numPr>
            </w:pPr>
            <w:proofErr w:type="gramStart"/>
            <w:r w:rsidRPr="001026A9">
              <w:t>develop</w:t>
            </w:r>
            <w:proofErr w:type="gramEnd"/>
            <w:r w:rsidRPr="001026A9">
              <w:t xml:space="preserve"> vocabulary by listening to and reading a variety of texts.</w:t>
            </w:r>
          </w:p>
          <w:p w:rsidR="00447093" w:rsidRDefault="00894178" w:rsidP="00234239">
            <w:pPr>
              <w:pStyle w:val="Bullet1"/>
              <w:numPr>
                <w:ilvl w:val="0"/>
                <w:numId w:val="31"/>
              </w:numPr>
              <w:rPr>
                <w:sz w:val="22"/>
              </w:rPr>
            </w:pPr>
            <w:proofErr w:type="gramStart"/>
            <w:r w:rsidRPr="001026A9">
              <w:t>study</w:t>
            </w:r>
            <w:proofErr w:type="gramEnd"/>
            <w:r w:rsidRPr="001026A9">
              <w:t xml:space="preserve"> cross-curricular vocabulary.</w:t>
            </w:r>
          </w:p>
        </w:tc>
      </w:tr>
    </w:tbl>
    <w:p w:rsidR="00447093" w:rsidRDefault="00447093">
      <w:pPr>
        <w:pStyle w:val="Heading1"/>
      </w:pPr>
      <w:r>
        <w:rPr>
          <w:rFonts w:ascii="Arial" w:hAnsi="Arial"/>
        </w:rPr>
        <w:br w:type="page"/>
      </w:r>
      <w:r>
        <w:lastRenderedPageBreak/>
        <w:t xml:space="preserve">Standard </w:t>
      </w:r>
      <w:r w:rsidR="00BF2670">
        <w:t>5</w:t>
      </w:r>
      <w:r w:rsidR="00A830B0">
        <w:t>E-cf1</w:t>
      </w:r>
      <w:r>
        <w:tab/>
      </w:r>
      <w:r w:rsidR="008A6B21">
        <w:t>REPORTING CATEGORY:</w:t>
      </w:r>
      <w:r>
        <w:t xml:space="preserve"> </w:t>
      </w:r>
      <w:r w:rsidR="00A830B0">
        <w:t>comprehension-fiction</w:t>
      </w:r>
      <w:r>
        <w:tab/>
        <w:t>Content: Reading</w:t>
      </w:r>
      <w:r>
        <w:tab/>
      </w:r>
    </w:p>
    <w:p w:rsidR="00447093" w:rsidRDefault="00447093"/>
    <w:p w:rsidR="00447093" w:rsidRDefault="00BF2670">
      <w:pPr>
        <w:pStyle w:val="SOLStandard"/>
      </w:pPr>
      <w:r>
        <w:t>5</w:t>
      </w:r>
      <w:r w:rsidR="00A830B0">
        <w:t>E-CF1</w:t>
      </w:r>
      <w:r w:rsidR="00447093">
        <w:tab/>
        <w:t>The s</w:t>
      </w:r>
      <w:r w:rsidR="000058F0">
        <w:t xml:space="preserve">tudent will </w:t>
      </w:r>
    </w:p>
    <w:p w:rsidR="00447093" w:rsidRDefault="00BF2670">
      <w:pPr>
        <w:pStyle w:val="SOLBullet"/>
      </w:pPr>
      <w:r>
        <w:t>a)</w:t>
      </w:r>
      <w:r>
        <w:tab/>
      </w:r>
      <w:proofErr w:type="gramStart"/>
      <w:r>
        <w:t>identify</w:t>
      </w:r>
      <w:proofErr w:type="gramEnd"/>
      <w:r>
        <w:t xml:space="preserve"> words in the text to answer a question about explicit information in fictional text</w:t>
      </w:r>
      <w:r w:rsidR="000058F0">
        <w:t>;</w:t>
      </w:r>
    </w:p>
    <w:p w:rsidR="00A830B0" w:rsidRDefault="00447093" w:rsidP="000058F0">
      <w:pPr>
        <w:pStyle w:val="SOLBullet"/>
      </w:pPr>
      <w:r>
        <w:t>b)</w:t>
      </w:r>
      <w:r>
        <w:tab/>
      </w:r>
      <w:proofErr w:type="gramStart"/>
      <w:r w:rsidR="00BF2670">
        <w:t>identify</w:t>
      </w:r>
      <w:proofErr w:type="gramEnd"/>
      <w:r w:rsidR="00BF2670">
        <w:t xml:space="preserve"> the central idea or theme of a familiar story, drama, or poem</w:t>
      </w:r>
      <w:r w:rsidR="00A830B0">
        <w:t>;</w:t>
      </w:r>
    </w:p>
    <w:p w:rsidR="00A830B0" w:rsidRDefault="00BF2670" w:rsidP="000058F0">
      <w:pPr>
        <w:pStyle w:val="SOLBullet"/>
      </w:pPr>
      <w:r>
        <w:t xml:space="preserve">c)   </w:t>
      </w:r>
      <w:proofErr w:type="gramStart"/>
      <w:r>
        <w:t>read</w:t>
      </w:r>
      <w:proofErr w:type="gramEnd"/>
      <w:r>
        <w:t xml:space="preserve"> fictional text comprised of familiar words with accuracy and understanding.</w:t>
      </w:r>
    </w:p>
    <w:p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BF2670">
        <w:trPr>
          <w:cantSplit/>
          <w:trHeight w:hRule="exact" w:val="7355"/>
        </w:trPr>
        <w:tc>
          <w:tcPr>
            <w:tcW w:w="4500" w:type="dxa"/>
          </w:tcPr>
          <w:p w:rsidR="00BF2670" w:rsidRPr="0068734C" w:rsidRDefault="00BF2670" w:rsidP="00BF2670">
            <w:pPr>
              <w:pStyle w:val="Bullet1"/>
              <w:numPr>
                <w:ilvl w:val="0"/>
                <w:numId w:val="15"/>
              </w:numPr>
            </w:pPr>
            <w:r w:rsidRPr="0068734C">
              <w:t>The intent of this standard is that students will continue to demonstrate comprehension of a selection by using before-, during-, and after-reading strategies.</w:t>
            </w:r>
          </w:p>
          <w:p w:rsidR="00BF2670" w:rsidRPr="0068734C" w:rsidRDefault="00BF2670" w:rsidP="00BF2670">
            <w:pPr>
              <w:pStyle w:val="Bullet1"/>
              <w:numPr>
                <w:ilvl w:val="0"/>
                <w:numId w:val="15"/>
              </w:numPr>
            </w:pPr>
            <w:r w:rsidRPr="0068734C">
              <w:t>Students will continue to read and comprehend fictional texts, narrative nonfiction texts, and poetry.</w:t>
            </w:r>
          </w:p>
          <w:p w:rsidR="00BF2670" w:rsidRPr="0068734C" w:rsidRDefault="00BF2670" w:rsidP="00BF2670">
            <w:pPr>
              <w:pStyle w:val="Bullet1"/>
              <w:numPr>
                <w:ilvl w:val="0"/>
                <w:numId w:val="15"/>
              </w:numPr>
            </w:pPr>
            <w:r w:rsidRPr="0068734C">
              <w:rPr>
                <w:b/>
              </w:rPr>
              <w:t>Narrative nonfiction</w:t>
            </w:r>
            <w:r w:rsidRPr="0068734C">
              <w:t xml:space="preserve"> is a retelling in story format about real people, animals, places or events. It contains facts and is usually in chronological order (e.g., autobiographies and biographies).</w:t>
            </w:r>
          </w:p>
          <w:p w:rsidR="00BF2670" w:rsidRPr="0068734C" w:rsidRDefault="00BF2670" w:rsidP="00BF2670">
            <w:pPr>
              <w:pStyle w:val="Bullet1"/>
              <w:numPr>
                <w:ilvl w:val="0"/>
                <w:numId w:val="15"/>
              </w:numPr>
            </w:pPr>
            <w:r w:rsidRPr="0068734C">
              <w:t>Students will become critical readers by analyzing point of view, word choice, plot, beginnings and endings, and character development.</w:t>
            </w:r>
          </w:p>
          <w:p w:rsidR="00BF2670" w:rsidRPr="0068734C" w:rsidRDefault="00BF2670" w:rsidP="00BF2670">
            <w:pPr>
              <w:pStyle w:val="Bullet1"/>
              <w:numPr>
                <w:ilvl w:val="0"/>
                <w:numId w:val="15"/>
              </w:numPr>
            </w:pPr>
            <w:r w:rsidRPr="0068734C">
              <w:t>Students will continue to further their knowledge of plot and character and their understanding of how each is developed in a literacy selection.</w:t>
            </w:r>
          </w:p>
          <w:p w:rsidR="00BF2670" w:rsidRPr="0068734C" w:rsidRDefault="00BF2670" w:rsidP="00BF2670">
            <w:pPr>
              <w:pStyle w:val="Bullet1"/>
              <w:numPr>
                <w:ilvl w:val="0"/>
                <w:numId w:val="15"/>
              </w:numPr>
            </w:pPr>
            <w:r w:rsidRPr="0068734C">
              <w:t>Students will then locate information in the text to support their predictions and conclusion.</w:t>
            </w:r>
          </w:p>
          <w:p w:rsidR="00447093" w:rsidRDefault="00447093" w:rsidP="00BF2670">
            <w:pPr>
              <w:pStyle w:val="Bullet1"/>
              <w:numPr>
                <w:ilvl w:val="0"/>
                <w:numId w:val="0"/>
              </w:numPr>
              <w:ind w:left="360"/>
            </w:pPr>
          </w:p>
        </w:tc>
        <w:tc>
          <w:tcPr>
            <w:tcW w:w="3150" w:type="dxa"/>
          </w:tcPr>
          <w:p w:rsidR="00447093" w:rsidRPr="00B824D5" w:rsidRDefault="00447093">
            <w:pPr>
              <w:pStyle w:val="BulletLeadIn"/>
              <w:rPr>
                <w:sz w:val="24"/>
                <w:szCs w:val="24"/>
              </w:rPr>
            </w:pPr>
            <w:r w:rsidRPr="00B824D5">
              <w:rPr>
                <w:sz w:val="24"/>
                <w:szCs w:val="24"/>
              </w:rPr>
              <w:t>All students should</w:t>
            </w:r>
          </w:p>
          <w:p w:rsidR="00BF2670" w:rsidRPr="0068734C" w:rsidRDefault="00BF2670" w:rsidP="00BF2670">
            <w:pPr>
              <w:pStyle w:val="Bullet1"/>
            </w:pPr>
            <w:proofErr w:type="gramStart"/>
            <w:r w:rsidRPr="0068734C">
              <w:t>choose</w:t>
            </w:r>
            <w:proofErr w:type="gramEnd"/>
            <w:r w:rsidRPr="0068734C">
              <w:t xml:space="preserve"> from a variety of comprehension strategies.</w:t>
            </w:r>
          </w:p>
          <w:p w:rsidR="00BF2670" w:rsidRPr="0068734C" w:rsidRDefault="00BF2670" w:rsidP="00BF2670">
            <w:pPr>
              <w:pStyle w:val="Bullet1"/>
            </w:pPr>
            <w:proofErr w:type="gramStart"/>
            <w:r w:rsidRPr="0068734C">
              <w:t>read</w:t>
            </w:r>
            <w:proofErr w:type="gramEnd"/>
            <w:r w:rsidRPr="0068734C">
              <w:t xml:space="preserve"> a variety of fictional texts, narrative nonfiction texts, and poetry.</w:t>
            </w:r>
          </w:p>
          <w:p w:rsidR="00BF2670" w:rsidRPr="0068734C" w:rsidRDefault="00BF2670" w:rsidP="00BF2670">
            <w:pPr>
              <w:pStyle w:val="Bullet1"/>
            </w:pPr>
            <w:proofErr w:type="gramStart"/>
            <w:r w:rsidRPr="0068734C">
              <w:t>describe</w:t>
            </w:r>
            <w:proofErr w:type="gramEnd"/>
            <w:r w:rsidRPr="0068734C">
              <w:t xml:space="preserve"> character and plot development.</w:t>
            </w:r>
          </w:p>
          <w:p w:rsidR="00447093" w:rsidRDefault="00447093" w:rsidP="00234239">
            <w:pPr>
              <w:pStyle w:val="Bullet1"/>
              <w:numPr>
                <w:ilvl w:val="0"/>
                <w:numId w:val="0"/>
              </w:numPr>
              <w:ind w:left="360"/>
            </w:pPr>
          </w:p>
        </w:tc>
        <w:tc>
          <w:tcPr>
            <w:tcW w:w="6750" w:type="dxa"/>
          </w:tcPr>
          <w:p w:rsidR="00447093" w:rsidRPr="00B824D5" w:rsidRDefault="00447093">
            <w:pPr>
              <w:pStyle w:val="BulletLeadIn"/>
              <w:rPr>
                <w:sz w:val="24"/>
                <w:szCs w:val="24"/>
              </w:rPr>
            </w:pPr>
            <w:r w:rsidRPr="00B824D5">
              <w:rPr>
                <w:sz w:val="24"/>
                <w:szCs w:val="24"/>
              </w:rPr>
              <w:t>To be successful with this standard, students are expected to</w:t>
            </w:r>
          </w:p>
          <w:p w:rsidR="00D550E3" w:rsidRPr="00D550E3" w:rsidRDefault="00D550E3" w:rsidP="00D550E3">
            <w:pPr>
              <w:widowControl w:val="0"/>
              <w:numPr>
                <w:ilvl w:val="0"/>
                <w:numId w:val="1"/>
              </w:numPr>
              <w:spacing w:before="120"/>
              <w:ind w:right="72" w:hanging="288"/>
              <w:outlineLvl w:val="0"/>
              <w:rPr>
                <w:sz w:val="20"/>
              </w:rPr>
            </w:pPr>
            <w:proofErr w:type="gramStart"/>
            <w:r w:rsidRPr="00D550E3">
              <w:rPr>
                <w:sz w:val="20"/>
              </w:rPr>
              <w:t>discuss</w:t>
            </w:r>
            <w:proofErr w:type="gramEnd"/>
            <w:r w:rsidRPr="00D550E3">
              <w:rPr>
                <w:sz w:val="20"/>
              </w:rPr>
              <w:t xml:space="preserve"> the similarities and differences between a text and previously read materials (e.g., compare and contrast characters).</w:t>
            </w:r>
          </w:p>
          <w:p w:rsidR="00D550E3" w:rsidRPr="00D550E3" w:rsidRDefault="00D550E3" w:rsidP="00D550E3">
            <w:pPr>
              <w:widowControl w:val="0"/>
              <w:numPr>
                <w:ilvl w:val="0"/>
                <w:numId w:val="1"/>
              </w:numPr>
              <w:spacing w:before="120"/>
              <w:ind w:right="72" w:hanging="288"/>
              <w:outlineLvl w:val="0"/>
              <w:rPr>
                <w:sz w:val="20"/>
              </w:rPr>
            </w:pPr>
            <w:r w:rsidRPr="00D550E3">
              <w:rPr>
                <w:sz w:val="20"/>
              </w:rPr>
              <w:t>understand that characters are developed by:</w:t>
            </w:r>
          </w:p>
          <w:p w:rsidR="00D550E3" w:rsidRPr="00D550E3" w:rsidRDefault="00D550E3" w:rsidP="00D550E3">
            <w:pPr>
              <w:keepNext/>
              <w:widowControl w:val="0"/>
              <w:numPr>
                <w:ilvl w:val="0"/>
                <w:numId w:val="13"/>
              </w:numPr>
              <w:tabs>
                <w:tab w:val="clear" w:pos="936"/>
                <w:tab w:val="num" w:pos="360"/>
                <w:tab w:val="num" w:pos="720"/>
              </w:tabs>
              <w:ind w:left="720" w:right="72" w:firstLine="0"/>
              <w:outlineLvl w:val="0"/>
              <w:rPr>
                <w:sz w:val="20"/>
              </w:rPr>
            </w:pPr>
            <w:r w:rsidRPr="00D550E3">
              <w:rPr>
                <w:sz w:val="20"/>
              </w:rPr>
              <w:t>what is directly stated in the text;</w:t>
            </w:r>
          </w:p>
          <w:p w:rsidR="00D550E3" w:rsidRPr="00D550E3" w:rsidRDefault="00D550E3" w:rsidP="00D550E3">
            <w:pPr>
              <w:keepNext/>
              <w:widowControl w:val="0"/>
              <w:numPr>
                <w:ilvl w:val="0"/>
                <w:numId w:val="13"/>
              </w:numPr>
              <w:tabs>
                <w:tab w:val="clear" w:pos="936"/>
                <w:tab w:val="num" w:pos="360"/>
                <w:tab w:val="num" w:pos="432"/>
                <w:tab w:val="num" w:pos="720"/>
              </w:tabs>
              <w:ind w:left="720" w:right="72" w:firstLine="0"/>
              <w:outlineLvl w:val="0"/>
              <w:rPr>
                <w:sz w:val="20"/>
              </w:rPr>
            </w:pPr>
            <w:r w:rsidRPr="00D550E3">
              <w:rPr>
                <w:sz w:val="20"/>
              </w:rPr>
              <w:t xml:space="preserve">their speech and actions; and </w:t>
            </w:r>
          </w:p>
          <w:p w:rsidR="00D550E3" w:rsidRPr="00D550E3" w:rsidRDefault="00D550E3" w:rsidP="00D550E3">
            <w:pPr>
              <w:keepNext/>
              <w:widowControl w:val="0"/>
              <w:numPr>
                <w:ilvl w:val="0"/>
                <w:numId w:val="13"/>
              </w:numPr>
              <w:tabs>
                <w:tab w:val="clear" w:pos="936"/>
                <w:tab w:val="num" w:pos="360"/>
                <w:tab w:val="num" w:pos="432"/>
                <w:tab w:val="num" w:pos="720"/>
              </w:tabs>
              <w:ind w:left="720" w:right="72" w:firstLine="0"/>
              <w:outlineLvl w:val="0"/>
              <w:rPr>
                <w:b/>
                <w:sz w:val="20"/>
              </w:rPr>
            </w:pPr>
            <w:proofErr w:type="gramStart"/>
            <w:r w:rsidRPr="00D550E3">
              <w:rPr>
                <w:sz w:val="20"/>
              </w:rPr>
              <w:t>what</w:t>
            </w:r>
            <w:proofErr w:type="gramEnd"/>
            <w:r w:rsidRPr="00D550E3">
              <w:rPr>
                <w:sz w:val="20"/>
              </w:rPr>
              <w:t xml:space="preserve"> other characters in the story say or think about them.</w:t>
            </w:r>
          </w:p>
          <w:p w:rsidR="00D550E3" w:rsidRPr="00D550E3" w:rsidRDefault="00D550E3" w:rsidP="00D550E3">
            <w:pPr>
              <w:widowControl w:val="0"/>
              <w:numPr>
                <w:ilvl w:val="0"/>
                <w:numId w:val="1"/>
              </w:numPr>
              <w:spacing w:before="120"/>
              <w:ind w:right="72" w:hanging="288"/>
              <w:outlineLvl w:val="0"/>
              <w:rPr>
                <w:sz w:val="20"/>
              </w:rPr>
            </w:pPr>
            <w:proofErr w:type="gramStart"/>
            <w:r w:rsidRPr="00D550E3">
              <w:rPr>
                <w:sz w:val="20"/>
              </w:rPr>
              <w:t>understand</w:t>
            </w:r>
            <w:proofErr w:type="gramEnd"/>
            <w:r w:rsidRPr="00D550E3">
              <w:rPr>
                <w:sz w:val="20"/>
              </w:rPr>
              <w:t xml:space="preserve"> that some characters change during the story or poem and some characters stay the same.</w:t>
            </w:r>
          </w:p>
          <w:p w:rsidR="00D550E3" w:rsidRPr="00D550E3" w:rsidRDefault="00D550E3" w:rsidP="00D550E3">
            <w:pPr>
              <w:widowControl w:val="0"/>
              <w:numPr>
                <w:ilvl w:val="0"/>
                <w:numId w:val="1"/>
              </w:numPr>
              <w:spacing w:before="120"/>
              <w:ind w:right="72" w:hanging="288"/>
              <w:outlineLvl w:val="0"/>
              <w:rPr>
                <w:sz w:val="20"/>
              </w:rPr>
            </w:pPr>
            <w:proofErr w:type="gramStart"/>
            <w:r w:rsidRPr="00D550E3">
              <w:rPr>
                <w:sz w:val="20"/>
              </w:rPr>
              <w:t>understand</w:t>
            </w:r>
            <w:proofErr w:type="gramEnd"/>
            <w:r w:rsidRPr="00D550E3">
              <w:rPr>
                <w:sz w:val="20"/>
              </w:rPr>
              <w:t xml:space="preserve"> that the main character has a conflict that usually gets resolved.</w:t>
            </w:r>
          </w:p>
          <w:p w:rsidR="00D550E3" w:rsidRPr="00D550E3" w:rsidRDefault="00D550E3" w:rsidP="00D550E3">
            <w:pPr>
              <w:widowControl w:val="0"/>
              <w:numPr>
                <w:ilvl w:val="0"/>
                <w:numId w:val="1"/>
              </w:numPr>
              <w:spacing w:before="120"/>
              <w:ind w:right="72" w:hanging="288"/>
              <w:outlineLvl w:val="0"/>
              <w:rPr>
                <w:sz w:val="20"/>
              </w:rPr>
            </w:pPr>
            <w:proofErr w:type="gramStart"/>
            <w:r w:rsidRPr="00D550E3">
              <w:rPr>
                <w:sz w:val="20"/>
              </w:rPr>
              <w:t>identify</w:t>
            </w:r>
            <w:proofErr w:type="gramEnd"/>
            <w:r w:rsidRPr="00D550E3">
              <w:rPr>
                <w:sz w:val="20"/>
              </w:rPr>
              <w:t xml:space="preserve"> the conflict or problem of the plot.</w:t>
            </w:r>
          </w:p>
          <w:p w:rsidR="00D550E3" w:rsidRPr="00D550E3" w:rsidRDefault="00D550E3" w:rsidP="00D550E3">
            <w:pPr>
              <w:widowControl w:val="0"/>
              <w:numPr>
                <w:ilvl w:val="0"/>
                <w:numId w:val="1"/>
              </w:numPr>
              <w:spacing w:before="120"/>
              <w:ind w:right="72" w:hanging="288"/>
              <w:outlineLvl w:val="0"/>
              <w:rPr>
                <w:sz w:val="20"/>
              </w:rPr>
            </w:pPr>
            <w:proofErr w:type="gramStart"/>
            <w:r w:rsidRPr="00D550E3">
              <w:rPr>
                <w:sz w:val="20"/>
              </w:rPr>
              <w:t>understand</w:t>
            </w:r>
            <w:proofErr w:type="gramEnd"/>
            <w:r w:rsidRPr="00D550E3">
              <w:rPr>
                <w:sz w:val="20"/>
              </w:rPr>
              <w:t xml:space="preserve"> that plot is developed through a series of events.</w:t>
            </w:r>
          </w:p>
          <w:p w:rsidR="00D550E3" w:rsidRPr="00D550E3" w:rsidRDefault="00D550E3" w:rsidP="00D550E3">
            <w:pPr>
              <w:widowControl w:val="0"/>
              <w:numPr>
                <w:ilvl w:val="0"/>
                <w:numId w:val="1"/>
              </w:numPr>
              <w:spacing w:before="120"/>
              <w:ind w:right="72" w:hanging="288"/>
              <w:outlineLvl w:val="0"/>
              <w:rPr>
                <w:sz w:val="20"/>
              </w:rPr>
            </w:pPr>
            <w:proofErr w:type="gramStart"/>
            <w:r w:rsidRPr="00D550E3">
              <w:rPr>
                <w:sz w:val="20"/>
              </w:rPr>
              <w:t>identify</w:t>
            </w:r>
            <w:proofErr w:type="gramEnd"/>
            <w:r w:rsidRPr="00D550E3">
              <w:rPr>
                <w:sz w:val="20"/>
              </w:rPr>
              <w:t xml:space="preserve"> the events in sequence that lead to resolution of the conflict.</w:t>
            </w:r>
          </w:p>
          <w:p w:rsidR="00D550E3" w:rsidRPr="00D550E3" w:rsidRDefault="00D550E3" w:rsidP="00D550E3">
            <w:pPr>
              <w:widowControl w:val="0"/>
              <w:numPr>
                <w:ilvl w:val="0"/>
                <w:numId w:val="1"/>
              </w:numPr>
              <w:spacing w:before="120"/>
              <w:ind w:right="72" w:hanging="288"/>
              <w:outlineLvl w:val="0"/>
              <w:rPr>
                <w:sz w:val="20"/>
              </w:rPr>
            </w:pPr>
            <w:proofErr w:type="gramStart"/>
            <w:r w:rsidRPr="00D550E3">
              <w:rPr>
                <w:sz w:val="20"/>
              </w:rPr>
              <w:t>discuss</w:t>
            </w:r>
            <w:proofErr w:type="gramEnd"/>
            <w:r w:rsidRPr="00D550E3">
              <w:rPr>
                <w:sz w:val="20"/>
              </w:rPr>
              <w:t xml:space="preserve"> why an author might have used particular words and phrases.</w:t>
            </w:r>
          </w:p>
          <w:p w:rsidR="00D550E3" w:rsidRPr="0068734C" w:rsidRDefault="00D550E3" w:rsidP="00D550E3">
            <w:pPr>
              <w:pStyle w:val="Bullet1"/>
              <w:ind w:hanging="288"/>
            </w:pPr>
            <w:proofErr w:type="gramStart"/>
            <w:r w:rsidRPr="0068734C">
              <w:t>identify</w:t>
            </w:r>
            <w:proofErr w:type="gramEnd"/>
            <w:r w:rsidRPr="0068734C">
              <w:t xml:space="preserve"> the characteristics of free verse (poetry with neither regular meter nor rhyme scheme), rhymed poetry, and patterned poetry.</w:t>
            </w:r>
          </w:p>
          <w:p w:rsidR="00D550E3" w:rsidRPr="0068734C" w:rsidRDefault="00D550E3" w:rsidP="00D550E3">
            <w:pPr>
              <w:pStyle w:val="Bullet1"/>
              <w:ind w:hanging="288"/>
            </w:pPr>
            <w:proofErr w:type="gramStart"/>
            <w:r w:rsidRPr="0068734C">
              <w:t>describe</w:t>
            </w:r>
            <w:proofErr w:type="gramEnd"/>
            <w:r w:rsidRPr="0068734C">
              <w:t xml:space="preserve"> how an author’s choice of vocabulary contributes to the  author’s style.</w:t>
            </w:r>
          </w:p>
          <w:p w:rsidR="00D550E3" w:rsidRPr="0068734C" w:rsidRDefault="00D550E3" w:rsidP="00D550E3">
            <w:pPr>
              <w:pStyle w:val="Bullet1"/>
              <w:ind w:hanging="288"/>
            </w:pPr>
            <w:proofErr w:type="gramStart"/>
            <w:r w:rsidRPr="0068734C">
              <w:t>identify</w:t>
            </w:r>
            <w:proofErr w:type="gramEnd"/>
            <w:r w:rsidRPr="0068734C">
              <w:t xml:space="preserve"> and ask questions that clarify various points of view.</w:t>
            </w:r>
          </w:p>
          <w:p w:rsidR="00D550E3" w:rsidRPr="0068734C" w:rsidRDefault="00D550E3" w:rsidP="00D550E3">
            <w:pPr>
              <w:pStyle w:val="Bullet1"/>
              <w:ind w:hanging="288"/>
            </w:pPr>
            <w:proofErr w:type="gramStart"/>
            <w:r w:rsidRPr="0068734C">
              <w:t>identify</w:t>
            </w:r>
            <w:proofErr w:type="gramEnd"/>
            <w:r w:rsidRPr="0068734C">
              <w:t xml:space="preserve"> main idea or theme.</w:t>
            </w:r>
          </w:p>
          <w:p w:rsidR="00D550E3" w:rsidRPr="0068734C" w:rsidRDefault="00D550E3" w:rsidP="00D550E3">
            <w:pPr>
              <w:pStyle w:val="Bullet1"/>
              <w:ind w:hanging="288"/>
            </w:pPr>
            <w:proofErr w:type="gramStart"/>
            <w:r w:rsidRPr="0068734C">
              <w:t>summarize</w:t>
            </w:r>
            <w:proofErr w:type="gramEnd"/>
            <w:r w:rsidRPr="0068734C">
              <w:t xml:space="preserve"> supporting details from text.</w:t>
            </w:r>
          </w:p>
          <w:p w:rsidR="00D550E3" w:rsidRPr="0068734C" w:rsidRDefault="00D550E3" w:rsidP="00D550E3">
            <w:pPr>
              <w:pStyle w:val="Bullet1"/>
              <w:ind w:hanging="288"/>
            </w:pPr>
            <w:proofErr w:type="gramStart"/>
            <w:r w:rsidRPr="0068734C">
              <w:t>draw</w:t>
            </w:r>
            <w:proofErr w:type="gramEnd"/>
            <w:r w:rsidRPr="0068734C">
              <w:t xml:space="preserve"> conclusions/make inferences from text.</w:t>
            </w:r>
          </w:p>
          <w:p w:rsidR="003F78E3" w:rsidRPr="008A100F" w:rsidRDefault="003F78E3" w:rsidP="00D550E3">
            <w:pPr>
              <w:pStyle w:val="Bullet1"/>
              <w:numPr>
                <w:ilvl w:val="0"/>
                <w:numId w:val="0"/>
              </w:numPr>
              <w:spacing w:before="0"/>
              <w:ind w:left="360" w:hanging="360"/>
            </w:pPr>
          </w:p>
        </w:tc>
      </w:tr>
    </w:tbl>
    <w:p w:rsidR="00447093" w:rsidRDefault="00447093">
      <w:pPr>
        <w:pStyle w:val="Heading1"/>
      </w:pPr>
      <w:r>
        <w:br w:type="page"/>
      </w:r>
      <w:r>
        <w:lastRenderedPageBreak/>
        <w:t xml:space="preserve">Standard </w:t>
      </w:r>
      <w:r w:rsidR="00E24BE7">
        <w:t>5cf1</w:t>
      </w:r>
      <w:r>
        <w:tab/>
      </w:r>
      <w:r w:rsidR="008A6B21">
        <w:t>REPORTING CATEGORY:</w:t>
      </w:r>
      <w:r>
        <w:t xml:space="preserve"> </w:t>
      </w:r>
      <w:r w:rsidR="008A100F">
        <w:t>comprehension-fiction</w:t>
      </w:r>
      <w:r w:rsidR="00346E13">
        <w:tab/>
        <w:t>CoNtent: Reading</w:t>
      </w:r>
      <w:r>
        <w:tab/>
      </w:r>
    </w:p>
    <w:p w:rsidR="00447093" w:rsidRDefault="00447093"/>
    <w:p w:rsidR="00E24BE7" w:rsidRDefault="00E24BE7" w:rsidP="00E24BE7">
      <w:pPr>
        <w:pStyle w:val="SOLStandard"/>
      </w:pPr>
      <w:r>
        <w:t>5E-CF1</w:t>
      </w:r>
      <w:r>
        <w:tab/>
        <w:t xml:space="preserve">The student will </w:t>
      </w:r>
    </w:p>
    <w:p w:rsidR="00E24BE7" w:rsidRDefault="00E24BE7" w:rsidP="00E24BE7">
      <w:pPr>
        <w:pStyle w:val="SOLBullet"/>
      </w:pPr>
      <w:r>
        <w:t>a)</w:t>
      </w:r>
      <w:r>
        <w:tab/>
      </w:r>
      <w:proofErr w:type="gramStart"/>
      <w:r>
        <w:t>identify</w:t>
      </w:r>
      <w:proofErr w:type="gramEnd"/>
      <w:r>
        <w:t xml:space="preserve"> words in the text to answer a question about explicit information in fictional text;</w:t>
      </w:r>
    </w:p>
    <w:p w:rsidR="00E24BE7" w:rsidRDefault="00E24BE7" w:rsidP="00E24BE7">
      <w:pPr>
        <w:pStyle w:val="SOLBullet"/>
      </w:pPr>
      <w:r>
        <w:t>b)</w:t>
      </w:r>
      <w:r>
        <w:tab/>
      </w:r>
      <w:proofErr w:type="gramStart"/>
      <w:r>
        <w:t>identify</w:t>
      </w:r>
      <w:proofErr w:type="gramEnd"/>
      <w:r>
        <w:t xml:space="preserve"> the central idea or theme of a familiar story, drama, or poem;</w:t>
      </w:r>
    </w:p>
    <w:p w:rsidR="00E24BE7" w:rsidRDefault="00E24BE7" w:rsidP="00E24BE7">
      <w:pPr>
        <w:pStyle w:val="SOLBullet"/>
      </w:pPr>
      <w:r>
        <w:t xml:space="preserve">c)   </w:t>
      </w:r>
      <w:proofErr w:type="gramStart"/>
      <w:r>
        <w:t>read</w:t>
      </w:r>
      <w:proofErr w:type="gramEnd"/>
      <w:r>
        <w:t xml:space="preserve"> fictional text comprised of familiar words with accuracy and understanding.</w:t>
      </w:r>
    </w:p>
    <w:p w:rsidR="00447093" w:rsidRPr="00346E13" w:rsidRDefault="00447093">
      <w:pPr>
        <w:rPr>
          <w:b/>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576BE1">
        <w:trPr>
          <w:cantSplit/>
          <w:trHeight w:hRule="exact" w:val="6815"/>
        </w:trPr>
        <w:tc>
          <w:tcPr>
            <w:tcW w:w="4500" w:type="dxa"/>
          </w:tcPr>
          <w:p w:rsidR="00E24BE7" w:rsidRPr="00E24BE7" w:rsidRDefault="00E24BE7" w:rsidP="00E24BE7">
            <w:pPr>
              <w:widowControl w:val="0"/>
              <w:numPr>
                <w:ilvl w:val="0"/>
                <w:numId w:val="1"/>
              </w:numPr>
              <w:spacing w:before="120"/>
              <w:ind w:right="72"/>
              <w:outlineLvl w:val="0"/>
              <w:rPr>
                <w:sz w:val="20"/>
              </w:rPr>
            </w:pPr>
            <w:r w:rsidRPr="00E24BE7">
              <w:rPr>
                <w:sz w:val="20"/>
              </w:rPr>
              <w:t>To determine a student’s functional reading level for a specific text consider these word accuracy rates from Virginia’s Phonological Awareness Literacy Screening (PALS):</w:t>
            </w:r>
          </w:p>
          <w:p w:rsidR="00E24BE7" w:rsidRPr="00E24BE7" w:rsidRDefault="00E24BE7" w:rsidP="00E24BE7">
            <w:pPr>
              <w:keepNext/>
              <w:ind w:left="702" w:right="72" w:hanging="270"/>
              <w:outlineLvl w:val="0"/>
              <w:rPr>
                <w:sz w:val="20"/>
              </w:rPr>
            </w:pPr>
            <w:r w:rsidRPr="00E24BE7">
              <w:rPr>
                <w:sz w:val="20"/>
              </w:rPr>
              <w:sym w:font="Symbol" w:char="F0B0"/>
            </w:r>
            <w:r w:rsidRPr="00E24BE7">
              <w:rPr>
                <w:sz w:val="20"/>
              </w:rPr>
              <w:tab/>
            </w:r>
            <w:proofErr w:type="gramStart"/>
            <w:r w:rsidRPr="00E24BE7">
              <w:rPr>
                <w:sz w:val="20"/>
              </w:rPr>
              <w:t>independent</w:t>
            </w:r>
            <w:proofErr w:type="gramEnd"/>
            <w:r w:rsidRPr="00E24BE7">
              <w:rPr>
                <w:sz w:val="20"/>
              </w:rPr>
              <w:t xml:space="preserve"> level – 98-100% accuracy, or about two of every 100 words misread; student reads independently with little or no instructional support, and comprehension is strong.</w:t>
            </w:r>
          </w:p>
          <w:p w:rsidR="00E24BE7" w:rsidRPr="00E24BE7" w:rsidRDefault="00E24BE7" w:rsidP="00E24BE7">
            <w:pPr>
              <w:keepNext/>
              <w:ind w:left="702" w:right="72" w:hanging="270"/>
              <w:outlineLvl w:val="0"/>
              <w:rPr>
                <w:sz w:val="20"/>
              </w:rPr>
            </w:pPr>
            <w:r w:rsidRPr="00E24BE7">
              <w:rPr>
                <w:sz w:val="20"/>
              </w:rPr>
              <w:sym w:font="Symbol" w:char="F0B0"/>
            </w:r>
            <w:r w:rsidRPr="00E24BE7">
              <w:rPr>
                <w:sz w:val="20"/>
              </w:rPr>
              <w:tab/>
            </w:r>
            <w:proofErr w:type="gramStart"/>
            <w:r w:rsidRPr="00E24BE7">
              <w:rPr>
                <w:sz w:val="20"/>
              </w:rPr>
              <w:t>instructional</w:t>
            </w:r>
            <w:proofErr w:type="gramEnd"/>
            <w:r w:rsidRPr="00E24BE7">
              <w:rPr>
                <w:sz w:val="20"/>
              </w:rPr>
              <w:t xml:space="preserve"> level – 90-97% accuracy, or three to ten words of every 100 words misread; student reads with modest accuracy and variable fluency and comprehension should be closely monitored.</w:t>
            </w:r>
          </w:p>
          <w:p w:rsidR="00E24BE7" w:rsidRPr="00E24BE7" w:rsidRDefault="00E24BE7" w:rsidP="00E24BE7">
            <w:pPr>
              <w:keepNext/>
              <w:tabs>
                <w:tab w:val="left" w:pos="702"/>
              </w:tabs>
              <w:ind w:left="702" w:right="72" w:hanging="270"/>
              <w:outlineLvl w:val="0"/>
              <w:rPr>
                <w:sz w:val="20"/>
              </w:rPr>
            </w:pPr>
            <w:r w:rsidRPr="00E24BE7">
              <w:rPr>
                <w:sz w:val="20"/>
              </w:rPr>
              <w:sym w:font="Symbol" w:char="F0B0"/>
            </w:r>
            <w:r w:rsidRPr="00E24BE7">
              <w:rPr>
                <w:sz w:val="20"/>
              </w:rPr>
              <w:tab/>
            </w:r>
            <w:proofErr w:type="gramStart"/>
            <w:r w:rsidRPr="00E24BE7">
              <w:rPr>
                <w:sz w:val="20"/>
              </w:rPr>
              <w:t>frustration</w:t>
            </w:r>
            <w:proofErr w:type="gramEnd"/>
            <w:r w:rsidRPr="00E24BE7">
              <w:rPr>
                <w:sz w:val="20"/>
              </w:rPr>
              <w:t xml:space="preserve"> level – less than 90% accuracy, or more than ten of every 100 words misread; student reads with neither accuracy nor fluency, and therefore his or her comprehension will be affected.</w:t>
            </w:r>
          </w:p>
          <w:p w:rsidR="00E24BE7" w:rsidRPr="0068734C" w:rsidRDefault="00E24BE7" w:rsidP="00E24BE7">
            <w:pPr>
              <w:pStyle w:val="Bullet1"/>
            </w:pPr>
            <w:r w:rsidRPr="0068734C">
              <w:t>The table below presents the results of research on oral reading fluency rates for students at the 90</w:t>
            </w:r>
            <w:r w:rsidRPr="0068734C">
              <w:rPr>
                <w:vertAlign w:val="superscript"/>
              </w:rPr>
              <w:t>th</w:t>
            </w:r>
            <w:r w:rsidRPr="0068734C">
              <w:t>, 75</w:t>
            </w:r>
            <w:r w:rsidRPr="0068734C">
              <w:rPr>
                <w:vertAlign w:val="superscript"/>
              </w:rPr>
              <w:t>th</w:t>
            </w:r>
            <w:r w:rsidRPr="0068734C">
              <w:t xml:space="preserve"> and 50</w:t>
            </w:r>
            <w:r w:rsidRPr="0068734C">
              <w:rPr>
                <w:vertAlign w:val="superscript"/>
              </w:rPr>
              <w:t>th</w:t>
            </w:r>
            <w:r w:rsidRPr="0068734C">
              <w:t xml:space="preserve"> percentiles throughout the school year. These rates are reported as words correct per minute (WCPM) for fifth-grade students reading fifth-grade text:</w:t>
            </w:r>
          </w:p>
          <w:p w:rsidR="00447093" w:rsidRPr="00576BE1" w:rsidRDefault="00447093" w:rsidP="00E24BE7">
            <w:pPr>
              <w:keepNext/>
              <w:widowControl w:val="0"/>
              <w:tabs>
                <w:tab w:val="left" w:pos="605"/>
              </w:tabs>
              <w:ind w:right="72"/>
              <w:outlineLvl w:val="0"/>
              <w:rPr>
                <w:sz w:val="20"/>
              </w:rPr>
            </w:pPr>
          </w:p>
        </w:tc>
        <w:tc>
          <w:tcPr>
            <w:tcW w:w="3150" w:type="dxa"/>
          </w:tcPr>
          <w:p w:rsidR="00447093" w:rsidRDefault="00447093" w:rsidP="00576BE1">
            <w:pPr>
              <w:pStyle w:val="Bullet1"/>
              <w:numPr>
                <w:ilvl w:val="0"/>
                <w:numId w:val="0"/>
              </w:numPr>
            </w:pPr>
          </w:p>
        </w:tc>
        <w:tc>
          <w:tcPr>
            <w:tcW w:w="6750" w:type="dxa"/>
          </w:tcPr>
          <w:p w:rsidR="00447093" w:rsidRDefault="00447093">
            <w:pPr>
              <w:pStyle w:val="BulletLeadIn"/>
            </w:pPr>
            <w:r w:rsidRPr="00576BE1">
              <w:t>To be successful with this standard, students are expected to</w:t>
            </w:r>
          </w:p>
          <w:p w:rsidR="00B26CA9" w:rsidRPr="000E25E2" w:rsidRDefault="00F05759" w:rsidP="000E25E2">
            <w:pPr>
              <w:pStyle w:val="ListParagraph"/>
              <w:numPr>
                <w:ilvl w:val="0"/>
                <w:numId w:val="29"/>
              </w:numPr>
              <w:spacing w:before="240"/>
              <w:rPr>
                <w:sz w:val="20"/>
              </w:rPr>
            </w:pPr>
            <w:proofErr w:type="gramStart"/>
            <w:r w:rsidRPr="00F05759">
              <w:rPr>
                <w:sz w:val="20"/>
              </w:rPr>
              <w:t>identify</w:t>
            </w:r>
            <w:proofErr w:type="gramEnd"/>
            <w:r w:rsidRPr="00F05759">
              <w:rPr>
                <w:sz w:val="20"/>
              </w:rPr>
              <w:t xml:space="preserve"> cause and effect relationships.</w:t>
            </w:r>
          </w:p>
          <w:p w:rsidR="00B26CA9" w:rsidRPr="000E25E2" w:rsidRDefault="00F05759" w:rsidP="00B26CA9">
            <w:pPr>
              <w:pStyle w:val="ListParagraph"/>
              <w:numPr>
                <w:ilvl w:val="0"/>
                <w:numId w:val="29"/>
              </w:numPr>
              <w:spacing w:before="240"/>
              <w:rPr>
                <w:sz w:val="20"/>
              </w:rPr>
            </w:pPr>
            <w:proofErr w:type="gramStart"/>
            <w:r w:rsidRPr="00F05759">
              <w:rPr>
                <w:sz w:val="20"/>
              </w:rPr>
              <w:t>make</w:t>
            </w:r>
            <w:proofErr w:type="gramEnd"/>
            <w:r w:rsidRPr="00F05759">
              <w:rPr>
                <w:sz w:val="20"/>
              </w:rPr>
              <w:t>, confirm, or revise predictions.</w:t>
            </w:r>
          </w:p>
          <w:p w:rsidR="00F05759" w:rsidRPr="00F05759" w:rsidRDefault="00F05759" w:rsidP="00F05759">
            <w:pPr>
              <w:pStyle w:val="ListParagraph"/>
              <w:numPr>
                <w:ilvl w:val="0"/>
                <w:numId w:val="29"/>
              </w:numPr>
              <w:rPr>
                <w:sz w:val="20"/>
              </w:rPr>
            </w:pPr>
            <w:r w:rsidRPr="00F05759">
              <w:rPr>
                <w:sz w:val="20"/>
              </w:rPr>
              <w:t>become aware of when they do not understand (e.g., by</w:t>
            </w:r>
          </w:p>
          <w:p w:rsidR="00F05759" w:rsidRPr="00F05759" w:rsidRDefault="00F05759" w:rsidP="00B26CA9">
            <w:pPr>
              <w:pStyle w:val="ListParagraph"/>
              <w:rPr>
                <w:sz w:val="20"/>
              </w:rPr>
            </w:pPr>
            <w:r w:rsidRPr="00F05759">
              <w:rPr>
                <w:sz w:val="20"/>
              </w:rPr>
              <w:t>reflecting upon and articulating what exactly is causing</w:t>
            </w:r>
          </w:p>
          <w:p w:rsidR="00F05759" w:rsidRPr="00F05759" w:rsidRDefault="00F05759" w:rsidP="000E25E2">
            <w:pPr>
              <w:pStyle w:val="ListParagraph"/>
              <w:rPr>
                <w:sz w:val="20"/>
              </w:rPr>
            </w:pPr>
            <w:proofErr w:type="gramStart"/>
            <w:r w:rsidRPr="00F05759">
              <w:rPr>
                <w:sz w:val="20"/>
              </w:rPr>
              <w:t>difficulty</w:t>
            </w:r>
            <w:proofErr w:type="gramEnd"/>
            <w:r w:rsidRPr="00F05759">
              <w:rPr>
                <w:sz w:val="20"/>
              </w:rPr>
              <w:t>).</w:t>
            </w:r>
          </w:p>
          <w:p w:rsidR="00F05759" w:rsidRPr="00F05759" w:rsidRDefault="00F05759" w:rsidP="00F05759">
            <w:pPr>
              <w:pStyle w:val="ListParagraph"/>
              <w:numPr>
                <w:ilvl w:val="0"/>
                <w:numId w:val="29"/>
              </w:numPr>
              <w:rPr>
                <w:sz w:val="20"/>
              </w:rPr>
            </w:pPr>
            <w:r w:rsidRPr="00F05759">
              <w:rPr>
                <w:sz w:val="20"/>
              </w:rPr>
              <w:t xml:space="preserve">read familiar text with fluency, accuracy, and expression to </w:t>
            </w:r>
          </w:p>
          <w:p w:rsidR="00F05759" w:rsidRPr="00F05759" w:rsidRDefault="00F05759" w:rsidP="000E25E2">
            <w:pPr>
              <w:pStyle w:val="ListParagraph"/>
              <w:rPr>
                <w:sz w:val="20"/>
              </w:rPr>
            </w:pPr>
            <w:proofErr w:type="gramStart"/>
            <w:r w:rsidRPr="00F05759">
              <w:rPr>
                <w:sz w:val="20"/>
              </w:rPr>
              <w:t>support</w:t>
            </w:r>
            <w:proofErr w:type="gramEnd"/>
            <w:r w:rsidRPr="00F05759">
              <w:rPr>
                <w:sz w:val="20"/>
              </w:rPr>
              <w:t xml:space="preserve"> comprehension.</w:t>
            </w:r>
          </w:p>
          <w:p w:rsidR="00F05759" w:rsidRPr="00F05759" w:rsidRDefault="00F05759" w:rsidP="00F05759">
            <w:pPr>
              <w:pStyle w:val="ListParagraph"/>
              <w:numPr>
                <w:ilvl w:val="0"/>
                <w:numId w:val="29"/>
              </w:numPr>
              <w:rPr>
                <w:sz w:val="20"/>
              </w:rPr>
            </w:pPr>
            <w:r w:rsidRPr="00F05759">
              <w:rPr>
                <w:sz w:val="20"/>
              </w:rPr>
              <w:t xml:space="preserve">recognize structural elements of poems (e.g., verse, rhythm) </w:t>
            </w:r>
          </w:p>
          <w:p w:rsidR="00346E13" w:rsidRPr="00346E13" w:rsidRDefault="00F05759" w:rsidP="00F05759">
            <w:pPr>
              <w:pStyle w:val="ListParagraph"/>
            </w:pPr>
            <w:proofErr w:type="gramStart"/>
            <w:r w:rsidRPr="00F05759">
              <w:rPr>
                <w:sz w:val="20"/>
              </w:rPr>
              <w:t>and</w:t>
            </w:r>
            <w:proofErr w:type="gramEnd"/>
            <w:r w:rsidRPr="00F05759">
              <w:rPr>
                <w:sz w:val="20"/>
              </w:rPr>
              <w:t xml:space="preserve"> drama (e.g., casts, dialogue).</w:t>
            </w:r>
          </w:p>
        </w:tc>
      </w:tr>
    </w:tbl>
    <w:p w:rsidR="00447093" w:rsidRDefault="00447093">
      <w:pPr>
        <w:pStyle w:val="Heading1"/>
      </w:pPr>
      <w:r>
        <w:br w:type="page"/>
      </w:r>
      <w:r>
        <w:lastRenderedPageBreak/>
        <w:t xml:space="preserve">Standard </w:t>
      </w:r>
      <w:r w:rsidR="00DD0488">
        <w:t>5</w:t>
      </w:r>
      <w:r w:rsidR="00576BE1">
        <w:t>E-CF1</w:t>
      </w:r>
      <w:r>
        <w:tab/>
      </w:r>
      <w:r w:rsidR="008A6B21">
        <w:t>REPORTING CATEGORY:</w:t>
      </w:r>
      <w:r>
        <w:t xml:space="preserve"> </w:t>
      </w:r>
      <w:r w:rsidR="00576BE1">
        <w:t>comprehension-fiction</w:t>
      </w:r>
      <w:r w:rsidR="00346E13">
        <w:tab/>
        <w:t>Content: Reading</w:t>
      </w:r>
      <w:r>
        <w:tab/>
      </w:r>
    </w:p>
    <w:p w:rsidR="00DD0488" w:rsidRDefault="00DD0488" w:rsidP="00DD0488">
      <w:pPr>
        <w:pStyle w:val="SOLStandard"/>
      </w:pPr>
    </w:p>
    <w:p w:rsidR="00DD0488" w:rsidRDefault="00DD0488" w:rsidP="00DD0488">
      <w:pPr>
        <w:pStyle w:val="SOLStandard"/>
      </w:pPr>
      <w:r>
        <w:t>5E-CF1</w:t>
      </w:r>
      <w:r>
        <w:tab/>
        <w:t xml:space="preserve">The student will </w:t>
      </w:r>
    </w:p>
    <w:p w:rsidR="00DD0488" w:rsidRDefault="00DD0488" w:rsidP="00DD0488">
      <w:pPr>
        <w:pStyle w:val="SOLBullet"/>
      </w:pPr>
      <w:r>
        <w:t>a)</w:t>
      </w:r>
      <w:r>
        <w:tab/>
      </w:r>
      <w:proofErr w:type="gramStart"/>
      <w:r>
        <w:t>identify</w:t>
      </w:r>
      <w:proofErr w:type="gramEnd"/>
      <w:r>
        <w:t xml:space="preserve"> words in the text to answer a question about explicit information in fictional text;</w:t>
      </w:r>
    </w:p>
    <w:p w:rsidR="00DD0488" w:rsidRDefault="00DD0488" w:rsidP="00DD0488">
      <w:pPr>
        <w:pStyle w:val="SOLBullet"/>
      </w:pPr>
      <w:r>
        <w:t>b)</w:t>
      </w:r>
      <w:r>
        <w:tab/>
      </w:r>
      <w:proofErr w:type="gramStart"/>
      <w:r>
        <w:t>identify</w:t>
      </w:r>
      <w:proofErr w:type="gramEnd"/>
      <w:r>
        <w:t xml:space="preserve"> the central idea or theme of a familiar story, drama, or poem;</w:t>
      </w:r>
    </w:p>
    <w:p w:rsidR="00DD0488" w:rsidRDefault="00DD0488" w:rsidP="00DD0488">
      <w:pPr>
        <w:pStyle w:val="SOLBullet"/>
      </w:pPr>
      <w:r>
        <w:t xml:space="preserve">c)   </w:t>
      </w:r>
      <w:proofErr w:type="gramStart"/>
      <w:r>
        <w:t>read</w:t>
      </w:r>
      <w:proofErr w:type="gramEnd"/>
      <w:r>
        <w:t xml:space="preserve"> fictional text comprised of familiar words with accuracy and understanding.</w:t>
      </w:r>
    </w:p>
    <w:p w:rsidR="00576BE1" w:rsidRDefault="00576BE1" w:rsidP="00576BE1">
      <w:pPr>
        <w:pStyle w:val="SOLStandard"/>
      </w:pPr>
    </w:p>
    <w:p w:rsidR="00447093" w:rsidRDefault="00447093">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464447">
        <w:trPr>
          <w:cantSplit/>
          <w:trHeight w:hRule="exact" w:val="6176"/>
        </w:trPr>
        <w:tc>
          <w:tcPr>
            <w:tcW w:w="4500" w:type="dxa"/>
          </w:tcPr>
          <w:tbl>
            <w:tblPr>
              <w:tblpPr w:leftFromText="180" w:rightFromText="180" w:horzAnchor="margin" w:tblpY="400"/>
              <w:tblOverlap w:val="never"/>
              <w:tblW w:w="4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7"/>
              <w:gridCol w:w="1067"/>
              <w:gridCol w:w="1067"/>
              <w:gridCol w:w="1068"/>
            </w:tblGrid>
            <w:tr w:rsidR="00DD0488" w:rsidRPr="00DD0488" w:rsidTr="00DD0488">
              <w:tc>
                <w:tcPr>
                  <w:tcW w:w="1067" w:type="dxa"/>
                  <w:vAlign w:val="center"/>
                </w:tcPr>
                <w:p w:rsidR="00DD0488" w:rsidRPr="00DD0488" w:rsidRDefault="00DD0488" w:rsidP="00DD0488">
                  <w:pPr>
                    <w:widowControl w:val="0"/>
                    <w:jc w:val="center"/>
                    <w:rPr>
                      <w:rFonts w:eastAsia="Times New Roman"/>
                      <w:snapToGrid w:val="0"/>
                      <w:sz w:val="20"/>
                      <w:u w:val="single"/>
                    </w:rPr>
                  </w:pPr>
                  <w:r w:rsidRPr="00DD0488">
                    <w:rPr>
                      <w:rFonts w:eastAsia="Times New Roman"/>
                      <w:snapToGrid w:val="0"/>
                      <w:sz w:val="20"/>
                      <w:u w:val="single"/>
                    </w:rPr>
                    <w:t>Percentile</w:t>
                  </w:r>
                </w:p>
              </w:tc>
              <w:tc>
                <w:tcPr>
                  <w:tcW w:w="1067" w:type="dxa"/>
                </w:tcPr>
                <w:p w:rsidR="00DD0488" w:rsidRPr="00DD0488" w:rsidRDefault="00DD0488" w:rsidP="00DD0488">
                  <w:pPr>
                    <w:widowControl w:val="0"/>
                    <w:jc w:val="center"/>
                    <w:rPr>
                      <w:rFonts w:eastAsia="Times New Roman"/>
                      <w:snapToGrid w:val="0"/>
                      <w:sz w:val="20"/>
                      <w:u w:val="single"/>
                    </w:rPr>
                  </w:pPr>
                  <w:r w:rsidRPr="00DD0488">
                    <w:rPr>
                      <w:rFonts w:eastAsia="Times New Roman"/>
                      <w:snapToGrid w:val="0"/>
                      <w:sz w:val="20"/>
                      <w:u w:val="single"/>
                    </w:rPr>
                    <w:t>Fall WCPM</w:t>
                  </w:r>
                </w:p>
              </w:tc>
              <w:tc>
                <w:tcPr>
                  <w:tcW w:w="1067" w:type="dxa"/>
                </w:tcPr>
                <w:p w:rsidR="00DD0488" w:rsidRPr="00DD0488" w:rsidRDefault="00DD0488" w:rsidP="00DD0488">
                  <w:pPr>
                    <w:widowControl w:val="0"/>
                    <w:jc w:val="center"/>
                    <w:rPr>
                      <w:rFonts w:eastAsia="Times New Roman"/>
                      <w:snapToGrid w:val="0"/>
                      <w:sz w:val="20"/>
                      <w:u w:val="single"/>
                    </w:rPr>
                  </w:pPr>
                  <w:r w:rsidRPr="00DD0488">
                    <w:rPr>
                      <w:rFonts w:eastAsia="Times New Roman"/>
                      <w:snapToGrid w:val="0"/>
                      <w:sz w:val="20"/>
                      <w:u w:val="single"/>
                    </w:rPr>
                    <w:t>Midyear</w:t>
                  </w:r>
                </w:p>
                <w:p w:rsidR="00DD0488" w:rsidRPr="00DD0488" w:rsidRDefault="00DD0488" w:rsidP="00DD0488">
                  <w:pPr>
                    <w:widowControl w:val="0"/>
                    <w:jc w:val="center"/>
                    <w:rPr>
                      <w:rFonts w:eastAsia="Times New Roman"/>
                      <w:snapToGrid w:val="0"/>
                      <w:sz w:val="20"/>
                      <w:u w:val="single"/>
                    </w:rPr>
                  </w:pPr>
                  <w:r w:rsidRPr="00DD0488">
                    <w:rPr>
                      <w:rFonts w:eastAsia="Times New Roman"/>
                      <w:snapToGrid w:val="0"/>
                      <w:sz w:val="20"/>
                      <w:u w:val="single"/>
                    </w:rPr>
                    <w:t>WCPM</w:t>
                  </w:r>
                </w:p>
              </w:tc>
              <w:tc>
                <w:tcPr>
                  <w:tcW w:w="1068" w:type="dxa"/>
                </w:tcPr>
                <w:p w:rsidR="00DD0488" w:rsidRPr="00DD0488" w:rsidRDefault="00DD0488" w:rsidP="00DD0488">
                  <w:pPr>
                    <w:widowControl w:val="0"/>
                    <w:jc w:val="center"/>
                    <w:rPr>
                      <w:rFonts w:eastAsia="Times New Roman"/>
                      <w:snapToGrid w:val="0"/>
                      <w:sz w:val="20"/>
                      <w:u w:val="single"/>
                    </w:rPr>
                  </w:pPr>
                  <w:r w:rsidRPr="00DD0488">
                    <w:rPr>
                      <w:rFonts w:eastAsia="Times New Roman"/>
                      <w:snapToGrid w:val="0"/>
                      <w:sz w:val="20"/>
                      <w:u w:val="single"/>
                    </w:rPr>
                    <w:t>Spring WCPM</w:t>
                  </w:r>
                </w:p>
              </w:tc>
            </w:tr>
            <w:tr w:rsidR="00DD0488" w:rsidRPr="00DD0488" w:rsidTr="00DD0488">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90</w:t>
                  </w:r>
                </w:p>
              </w:tc>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166</w:t>
                  </w:r>
                </w:p>
              </w:tc>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182</w:t>
                  </w:r>
                </w:p>
              </w:tc>
              <w:tc>
                <w:tcPr>
                  <w:tcW w:w="1068"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194</w:t>
                  </w:r>
                </w:p>
              </w:tc>
            </w:tr>
            <w:tr w:rsidR="00DD0488" w:rsidRPr="00DD0488" w:rsidTr="00DD0488">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75</w:t>
                  </w:r>
                </w:p>
              </w:tc>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139</w:t>
                  </w:r>
                </w:p>
              </w:tc>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156</w:t>
                  </w:r>
                </w:p>
              </w:tc>
              <w:tc>
                <w:tcPr>
                  <w:tcW w:w="1068"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168</w:t>
                  </w:r>
                </w:p>
              </w:tc>
            </w:tr>
            <w:tr w:rsidR="00DD0488" w:rsidRPr="00DD0488" w:rsidTr="00DD0488">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50</w:t>
                  </w:r>
                </w:p>
              </w:tc>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110</w:t>
                  </w:r>
                </w:p>
              </w:tc>
              <w:tc>
                <w:tcPr>
                  <w:tcW w:w="1067"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127</w:t>
                  </w:r>
                </w:p>
              </w:tc>
              <w:tc>
                <w:tcPr>
                  <w:tcW w:w="1068" w:type="dxa"/>
                </w:tcPr>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139</w:t>
                  </w:r>
                </w:p>
              </w:tc>
            </w:tr>
          </w:tbl>
          <w:p w:rsidR="00DD0488" w:rsidRPr="00DD0488" w:rsidRDefault="00DD0488" w:rsidP="00DD0488">
            <w:pPr>
              <w:widowControl w:val="0"/>
              <w:jc w:val="center"/>
              <w:rPr>
                <w:rFonts w:eastAsia="Times New Roman"/>
                <w:snapToGrid w:val="0"/>
                <w:sz w:val="20"/>
              </w:rPr>
            </w:pPr>
            <w:r w:rsidRPr="00DD0488">
              <w:rPr>
                <w:rFonts w:eastAsia="Times New Roman"/>
                <w:snapToGrid w:val="0"/>
                <w:sz w:val="20"/>
              </w:rPr>
              <w:t>Hasbrouck, J.E., &amp; Tindal, G.A., 2006</w:t>
            </w:r>
          </w:p>
          <w:p w:rsidR="00DD0488" w:rsidRDefault="00DD0488" w:rsidP="00DD0488">
            <w:pPr>
              <w:pStyle w:val="Bullet1"/>
              <w:numPr>
                <w:ilvl w:val="0"/>
                <w:numId w:val="0"/>
              </w:numPr>
              <w:ind w:left="360"/>
              <w:rPr>
                <w:iCs/>
              </w:rPr>
            </w:pPr>
          </w:p>
          <w:p w:rsidR="00447093" w:rsidRPr="00675F21" w:rsidRDefault="00DD0488" w:rsidP="00DD0488">
            <w:pPr>
              <w:pStyle w:val="Bullet1"/>
              <w:numPr>
                <w:ilvl w:val="0"/>
                <w:numId w:val="26"/>
              </w:numPr>
            </w:pPr>
            <w:r w:rsidRPr="0068734C">
              <w:rPr>
                <w:iCs/>
              </w:rPr>
              <w:t>When fully developed, reading</w:t>
            </w:r>
            <w:r w:rsidRPr="0068734C">
              <w:rPr>
                <w:i/>
                <w:iCs/>
              </w:rPr>
              <w:t xml:space="preserve"> fluency</w:t>
            </w:r>
            <w:r w:rsidRPr="0068734C">
              <w:rPr>
                <w:iCs/>
              </w:rPr>
              <w:t xml:space="preserve"> refers to a level of accuracy and rate where decoding is relatively effortless; where oral reading is smooth and accurate with correct prosody; and where attention can be allocated to comprehension.*</w:t>
            </w:r>
          </w:p>
        </w:tc>
        <w:tc>
          <w:tcPr>
            <w:tcW w:w="3150" w:type="dxa"/>
          </w:tcPr>
          <w:p w:rsidR="00447093" w:rsidRPr="00464447" w:rsidRDefault="00447093" w:rsidP="00675F21">
            <w:pPr>
              <w:pStyle w:val="Bullet1"/>
              <w:numPr>
                <w:ilvl w:val="0"/>
                <w:numId w:val="0"/>
              </w:numPr>
              <w:ind w:left="360"/>
              <w:rPr>
                <w:sz w:val="22"/>
                <w:szCs w:val="22"/>
              </w:rPr>
            </w:pPr>
          </w:p>
        </w:tc>
        <w:tc>
          <w:tcPr>
            <w:tcW w:w="6750" w:type="dxa"/>
          </w:tcPr>
          <w:p w:rsidR="00447093" w:rsidRPr="00464447" w:rsidRDefault="00447093" w:rsidP="00675F21">
            <w:pPr>
              <w:pStyle w:val="Bullet1"/>
              <w:numPr>
                <w:ilvl w:val="0"/>
                <w:numId w:val="0"/>
              </w:numPr>
              <w:ind w:left="360"/>
              <w:rPr>
                <w:sz w:val="22"/>
                <w:szCs w:val="22"/>
              </w:rPr>
            </w:pPr>
          </w:p>
        </w:tc>
      </w:tr>
      <w:tr w:rsidR="00675F21" w:rsidTr="00675F21">
        <w:trPr>
          <w:cantSplit/>
          <w:trHeight w:hRule="exact" w:val="641"/>
        </w:trPr>
        <w:tc>
          <w:tcPr>
            <w:tcW w:w="14400" w:type="dxa"/>
            <w:gridSpan w:val="3"/>
          </w:tcPr>
          <w:p w:rsidR="00675F21" w:rsidRPr="00675F21" w:rsidRDefault="00675F21" w:rsidP="00675F21">
            <w:pPr>
              <w:autoSpaceDE w:val="0"/>
              <w:autoSpaceDN w:val="0"/>
              <w:adjustRightInd w:val="0"/>
              <w:rPr>
                <w:rFonts w:eastAsia="Times New Roman"/>
                <w:i/>
                <w:iCs/>
                <w:sz w:val="20"/>
              </w:rPr>
            </w:pPr>
            <w:r w:rsidRPr="00675F21">
              <w:rPr>
                <w:rFonts w:eastAsia="Times New Roman"/>
                <w:sz w:val="20"/>
              </w:rPr>
              <w:t xml:space="preserve">* Wolf, M. &amp; </w:t>
            </w:r>
            <w:proofErr w:type="spellStart"/>
            <w:r w:rsidRPr="00675F21">
              <w:rPr>
                <w:rFonts w:eastAsia="Times New Roman"/>
                <w:sz w:val="20"/>
              </w:rPr>
              <w:t>Katzir</w:t>
            </w:r>
            <w:proofErr w:type="spellEnd"/>
            <w:r w:rsidRPr="00675F21">
              <w:rPr>
                <w:rFonts w:eastAsia="Times New Roman"/>
                <w:sz w:val="20"/>
              </w:rPr>
              <w:t xml:space="preserve">-Cohen, T. (2001). Reading fluency and its intervention. </w:t>
            </w:r>
            <w:r w:rsidRPr="00675F21">
              <w:rPr>
                <w:rFonts w:eastAsia="Times New Roman"/>
                <w:i/>
                <w:iCs/>
                <w:sz w:val="20"/>
              </w:rPr>
              <w:t>Scientific Studies of</w:t>
            </w:r>
          </w:p>
          <w:p w:rsidR="00675F21" w:rsidRPr="00675F21" w:rsidRDefault="00675F21" w:rsidP="00675F21">
            <w:pPr>
              <w:widowControl w:val="0"/>
              <w:rPr>
                <w:rFonts w:eastAsia="Times New Roman"/>
                <w:snapToGrid w:val="0"/>
                <w:sz w:val="20"/>
              </w:rPr>
            </w:pPr>
            <w:r w:rsidRPr="00675F21">
              <w:rPr>
                <w:rFonts w:eastAsia="Times New Roman"/>
                <w:i/>
                <w:iCs/>
                <w:sz w:val="20"/>
              </w:rPr>
              <w:t>Reading</w:t>
            </w:r>
            <w:r w:rsidRPr="00675F21">
              <w:rPr>
                <w:rFonts w:eastAsia="Times New Roman"/>
                <w:sz w:val="20"/>
              </w:rPr>
              <w:t xml:space="preserve">. (Special Issue on Fluency. Editors: E. </w:t>
            </w:r>
            <w:proofErr w:type="spellStart"/>
            <w:r w:rsidRPr="00675F21">
              <w:rPr>
                <w:rFonts w:eastAsia="Times New Roman"/>
                <w:sz w:val="20"/>
              </w:rPr>
              <w:t>Kame’enui</w:t>
            </w:r>
            <w:proofErr w:type="spellEnd"/>
            <w:r w:rsidRPr="00675F21">
              <w:rPr>
                <w:rFonts w:eastAsia="Times New Roman"/>
                <w:sz w:val="20"/>
              </w:rPr>
              <w:t xml:space="preserve"> &amp; D. Simmons). 5, p. 211-238.</w:t>
            </w:r>
          </w:p>
          <w:p w:rsidR="00675F21" w:rsidRPr="00464447" w:rsidRDefault="00675F21" w:rsidP="00675F21">
            <w:pPr>
              <w:pStyle w:val="Bullet1"/>
              <w:numPr>
                <w:ilvl w:val="0"/>
                <w:numId w:val="0"/>
              </w:numPr>
              <w:ind w:left="360"/>
              <w:rPr>
                <w:sz w:val="22"/>
                <w:szCs w:val="22"/>
              </w:rPr>
            </w:pPr>
          </w:p>
        </w:tc>
      </w:tr>
    </w:tbl>
    <w:p w:rsidR="00464447" w:rsidRDefault="00675F21" w:rsidP="00464447">
      <w:pPr>
        <w:pStyle w:val="Heading1"/>
      </w:pPr>
      <w:r>
        <w:lastRenderedPageBreak/>
        <w:t xml:space="preserve">Standard </w:t>
      </w:r>
      <w:r w:rsidR="00B26CA9">
        <w:t>5</w:t>
      </w:r>
      <w:r>
        <w:t>cn1</w:t>
      </w:r>
      <w:r w:rsidR="00464447">
        <w:tab/>
        <w:t>R</w:t>
      </w:r>
      <w:r>
        <w:t>EPORTING CATEGORY: comprehension-nonfiction</w:t>
      </w:r>
      <w:r w:rsidR="00464447">
        <w:tab/>
        <w:t>Content: Reading</w:t>
      </w:r>
      <w:r w:rsidR="00464447">
        <w:tab/>
      </w:r>
    </w:p>
    <w:p w:rsidR="00464447" w:rsidRDefault="00B26CA9" w:rsidP="002916EB">
      <w:pPr>
        <w:pStyle w:val="SOLStandard"/>
        <w:ind w:left="0" w:firstLine="0"/>
      </w:pPr>
      <w:r>
        <w:t>5</w:t>
      </w:r>
      <w:r w:rsidR="00675F21">
        <w:t>E-CN1</w:t>
      </w:r>
      <w:r w:rsidR="002916EB">
        <w:t xml:space="preserve"> </w:t>
      </w:r>
      <w:r w:rsidR="00464447">
        <w:t xml:space="preserve">The student will </w:t>
      </w:r>
    </w:p>
    <w:p w:rsidR="00464447" w:rsidRDefault="00675F21" w:rsidP="00464447">
      <w:pPr>
        <w:pStyle w:val="SOLBullet"/>
      </w:pPr>
      <w:r>
        <w:t>a)</w:t>
      </w:r>
      <w:r>
        <w:tab/>
      </w:r>
      <w:proofErr w:type="gramStart"/>
      <w:r w:rsidR="00B26CA9">
        <w:t>when</w:t>
      </w:r>
      <w:proofErr w:type="gramEnd"/>
      <w:r w:rsidR="00B26CA9">
        <w:t xml:space="preserve"> given a nonfiction text identify the main ideas that are supported by the key details</w:t>
      </w:r>
      <w:r w:rsidR="00464447">
        <w:t>;</w:t>
      </w:r>
    </w:p>
    <w:p w:rsidR="00464447" w:rsidRDefault="00464447" w:rsidP="00464447">
      <w:pPr>
        <w:pStyle w:val="SOLBullet"/>
      </w:pPr>
      <w:r>
        <w:t>b</w:t>
      </w:r>
      <w:r w:rsidR="00675F21">
        <w:t>)</w:t>
      </w:r>
      <w:r w:rsidR="00675F21">
        <w:tab/>
      </w:r>
      <w:proofErr w:type="gramStart"/>
      <w:r w:rsidR="00B26CA9">
        <w:t>make</w:t>
      </w:r>
      <w:proofErr w:type="gramEnd"/>
      <w:r w:rsidR="00B26CA9">
        <w:t xml:space="preserve"> connections between two individuals or events/actions in a nonfiction text</w:t>
      </w:r>
      <w:r>
        <w:t>;</w:t>
      </w:r>
    </w:p>
    <w:p w:rsidR="00464447" w:rsidRDefault="00675F21" w:rsidP="00464447">
      <w:pPr>
        <w:pStyle w:val="SOLBullet"/>
      </w:pPr>
      <w:r>
        <w:t>c)</w:t>
      </w:r>
      <w:r>
        <w:tab/>
      </w:r>
      <w:proofErr w:type="gramStart"/>
      <w:r w:rsidR="00B26CA9">
        <w:t>identify</w:t>
      </w:r>
      <w:proofErr w:type="gramEnd"/>
      <w:r w:rsidR="00B26CA9">
        <w:t xml:space="preserve"> the beginning, middle, and end of a nonfiction text with a clear sequential structure</w:t>
      </w:r>
      <w:r w:rsidR="00464447">
        <w:t>;</w:t>
      </w:r>
    </w:p>
    <w:p w:rsidR="00464447" w:rsidRDefault="00675F21" w:rsidP="00B26CA9">
      <w:pPr>
        <w:pStyle w:val="SOLBullet"/>
      </w:pPr>
      <w:r>
        <w:t>d)</w:t>
      </w:r>
      <w:r>
        <w:tab/>
      </w:r>
      <w:proofErr w:type="gramStart"/>
      <w:r w:rsidR="00B26CA9">
        <w:t>given</w:t>
      </w:r>
      <w:proofErr w:type="gramEnd"/>
      <w:r w:rsidR="00B26CA9">
        <w:t xml:space="preserve"> two pieces of information on the same event or topic, note what is the same.</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2916EB">
        <w:trPr>
          <w:cantSplit/>
          <w:trHeight w:hRule="exact" w:val="686"/>
        </w:trPr>
        <w:tc>
          <w:tcPr>
            <w:tcW w:w="4500" w:type="dxa"/>
            <w:vAlign w:val="center"/>
          </w:tcPr>
          <w:p w:rsidR="00464447" w:rsidRDefault="00464447" w:rsidP="00121380">
            <w:pPr>
              <w:pStyle w:val="Heading3"/>
            </w:pPr>
            <w:r>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2916EB">
        <w:trPr>
          <w:cantSplit/>
          <w:trHeight w:hRule="exact" w:val="7103"/>
        </w:trPr>
        <w:tc>
          <w:tcPr>
            <w:tcW w:w="4500" w:type="dxa"/>
          </w:tcPr>
          <w:p w:rsidR="00B26CA9" w:rsidRPr="00B47544" w:rsidRDefault="00B26CA9" w:rsidP="00B26CA9">
            <w:pPr>
              <w:pStyle w:val="Bullet1"/>
              <w:numPr>
                <w:ilvl w:val="0"/>
                <w:numId w:val="16"/>
              </w:numPr>
            </w:pPr>
            <w:r w:rsidRPr="00B47544">
              <w:t>The intent of this standard is that students will read and demonstrate comprehension of nonfiction texts across the curriculum, including age-appropriate materials that reflect the Virginia Standards of Learning in English, history and social science, science, and mathematics.</w:t>
            </w:r>
          </w:p>
          <w:p w:rsidR="00B26CA9" w:rsidRPr="00B47544" w:rsidRDefault="00B26CA9" w:rsidP="00B26CA9">
            <w:pPr>
              <w:pStyle w:val="Bullet1"/>
              <w:numPr>
                <w:ilvl w:val="0"/>
                <w:numId w:val="16"/>
              </w:numPr>
            </w:pPr>
            <w:r w:rsidRPr="00B47544">
              <w:t>Students will demonstrate comprehension of a selection by using before-, during-, and after-reading strategies (e.g., using graphic organizers, question generation, and summarization).</w:t>
            </w:r>
          </w:p>
          <w:p w:rsidR="00B26CA9" w:rsidRPr="00116A1F" w:rsidRDefault="00B26CA9" w:rsidP="00B26CA9">
            <w:pPr>
              <w:pStyle w:val="Bullet1"/>
              <w:numPr>
                <w:ilvl w:val="0"/>
                <w:numId w:val="16"/>
              </w:numPr>
            </w:pPr>
            <w:r w:rsidRPr="00682D74">
              <w:rPr>
                <w:b/>
                <w:i/>
              </w:rPr>
              <w:t>Before</w:t>
            </w:r>
            <w:r w:rsidRPr="00116A1F">
              <w:t xml:space="preserve"> reading, students will use text organizers to predict and categorize information.</w:t>
            </w:r>
          </w:p>
          <w:p w:rsidR="00B26CA9" w:rsidRPr="00116A1F" w:rsidRDefault="00B26CA9" w:rsidP="00B26CA9">
            <w:pPr>
              <w:pStyle w:val="Bullet1"/>
              <w:numPr>
                <w:ilvl w:val="0"/>
                <w:numId w:val="16"/>
              </w:numPr>
            </w:pPr>
            <w:r w:rsidRPr="00682D74">
              <w:rPr>
                <w:b/>
                <w:i/>
              </w:rPr>
              <w:t>During</w:t>
            </w:r>
            <w:r w:rsidRPr="00116A1F">
              <w:t xml:space="preserve"> reading, students will formulate questions and make and revise ongoing predictions and inferences, using given information.</w:t>
            </w:r>
          </w:p>
          <w:p w:rsidR="00B26CA9" w:rsidRPr="00B47544" w:rsidRDefault="00B26CA9" w:rsidP="00B26CA9">
            <w:pPr>
              <w:pStyle w:val="Bullet1"/>
            </w:pPr>
            <w:r w:rsidRPr="00682D74">
              <w:rPr>
                <w:b/>
                <w:i/>
              </w:rPr>
              <w:t>After</w:t>
            </w:r>
            <w:r w:rsidRPr="00116A1F">
              <w:t xml:space="preserve"> reading</w:t>
            </w:r>
            <w:r w:rsidRPr="00B47544">
              <w:t>, students will confirm or dismiss previous predictions and inferences. Students will also summarize content, identify important ideas, provide details, formulate opinions, and use writing to clarify their thinking (e.g., graphic organizers, responsive journaling).</w:t>
            </w:r>
          </w:p>
          <w:p w:rsidR="00464447" w:rsidRPr="00C67041" w:rsidRDefault="00464447" w:rsidP="00AB08F5">
            <w:pPr>
              <w:pStyle w:val="Bullet1"/>
              <w:numPr>
                <w:ilvl w:val="0"/>
                <w:numId w:val="0"/>
              </w:numPr>
              <w:ind w:left="360"/>
              <w:rPr>
                <w:sz w:val="24"/>
                <w:szCs w:val="24"/>
              </w:rPr>
            </w:pPr>
          </w:p>
        </w:tc>
        <w:tc>
          <w:tcPr>
            <w:tcW w:w="3150" w:type="dxa"/>
          </w:tcPr>
          <w:p w:rsidR="00464447" w:rsidRPr="00C67041" w:rsidRDefault="00464447" w:rsidP="00121380">
            <w:pPr>
              <w:pStyle w:val="BulletLeadIn"/>
              <w:rPr>
                <w:sz w:val="24"/>
                <w:szCs w:val="24"/>
              </w:rPr>
            </w:pPr>
            <w:r w:rsidRPr="00C67041">
              <w:rPr>
                <w:sz w:val="24"/>
                <w:szCs w:val="24"/>
              </w:rPr>
              <w:t>All students should</w:t>
            </w:r>
          </w:p>
          <w:p w:rsidR="00AB08F5" w:rsidRPr="00B47544" w:rsidRDefault="00AB08F5" w:rsidP="00AB08F5">
            <w:pPr>
              <w:pStyle w:val="Bullet1"/>
            </w:pPr>
            <w:proofErr w:type="gramStart"/>
            <w:r w:rsidRPr="00B47544">
              <w:t>preview</w:t>
            </w:r>
            <w:proofErr w:type="gramEnd"/>
            <w:r w:rsidRPr="00B47544">
              <w:t>, pose questions, and make predictions before reading.</w:t>
            </w:r>
          </w:p>
          <w:p w:rsidR="00AB08F5" w:rsidRPr="00B47544" w:rsidRDefault="00AB08F5" w:rsidP="00AB08F5">
            <w:pPr>
              <w:pStyle w:val="Bullet1"/>
            </w:pPr>
            <w:proofErr w:type="gramStart"/>
            <w:r w:rsidRPr="00B47544">
              <w:t>understand</w:t>
            </w:r>
            <w:proofErr w:type="gramEnd"/>
            <w:r w:rsidRPr="00B47544">
              <w:t xml:space="preserve"> how the organizational patterns make the information easier to comprehend.</w:t>
            </w:r>
          </w:p>
          <w:p w:rsidR="00464447" w:rsidRPr="00C67041" w:rsidRDefault="00AB08F5" w:rsidP="00AB08F5">
            <w:pPr>
              <w:pStyle w:val="Bullet1"/>
              <w:rPr>
                <w:sz w:val="24"/>
                <w:szCs w:val="24"/>
              </w:rPr>
            </w:pPr>
            <w:proofErr w:type="gramStart"/>
            <w:r w:rsidRPr="00B47544">
              <w:t>make</w:t>
            </w:r>
            <w:proofErr w:type="gramEnd"/>
            <w:r w:rsidRPr="00B47544">
              <w:t xml:space="preserve"> connections between what they read in the selection and their prior knowledge.</w:t>
            </w:r>
          </w:p>
        </w:tc>
        <w:tc>
          <w:tcPr>
            <w:tcW w:w="6750" w:type="dxa"/>
          </w:tcPr>
          <w:p w:rsidR="00464447" w:rsidRPr="00C67041" w:rsidRDefault="00464447" w:rsidP="00121380">
            <w:pPr>
              <w:pStyle w:val="BulletLeadIn"/>
              <w:rPr>
                <w:sz w:val="24"/>
                <w:szCs w:val="24"/>
              </w:rPr>
            </w:pPr>
            <w:r w:rsidRPr="00C67041">
              <w:rPr>
                <w:sz w:val="24"/>
                <w:szCs w:val="24"/>
              </w:rPr>
              <w:t>To be successful with this standard, students are expected to</w:t>
            </w:r>
          </w:p>
          <w:p w:rsidR="00AB08F5" w:rsidRPr="00B47544" w:rsidRDefault="00AB08F5" w:rsidP="00AB08F5">
            <w:pPr>
              <w:pStyle w:val="Bullet1"/>
              <w:ind w:hanging="288"/>
            </w:pPr>
            <w:proofErr w:type="gramStart"/>
            <w:r w:rsidRPr="00B47544">
              <w:t>use</w:t>
            </w:r>
            <w:proofErr w:type="gramEnd"/>
            <w:r w:rsidRPr="00B47544">
              <w:t xml:space="preserve"> text features, such as type styles (e.g., boldfaced, italics) and color, captions under pictures and graphics, and headings of sections and chapters, to predict and categorize information in both print and digital texts.</w:t>
            </w:r>
          </w:p>
          <w:p w:rsidR="00AB08F5" w:rsidRPr="00B47544" w:rsidRDefault="00AB08F5" w:rsidP="00AB08F5">
            <w:pPr>
              <w:pStyle w:val="Bullet1"/>
              <w:ind w:hanging="288"/>
            </w:pPr>
            <w:proofErr w:type="gramStart"/>
            <w:r w:rsidRPr="00B47544">
              <w:t>apply</w:t>
            </w:r>
            <w:proofErr w:type="gramEnd"/>
            <w:r w:rsidRPr="00B47544">
              <w:t xml:space="preserve"> prior knowledge to make predictions and build additional background knowledge as context for learning.</w:t>
            </w:r>
          </w:p>
          <w:p w:rsidR="00AB08F5" w:rsidRPr="00B47544" w:rsidRDefault="00AB08F5" w:rsidP="00AB08F5">
            <w:pPr>
              <w:pStyle w:val="Bullet1"/>
              <w:ind w:hanging="288"/>
            </w:pPr>
            <w:proofErr w:type="gramStart"/>
            <w:r w:rsidRPr="00B47544">
              <w:t>skim</w:t>
            </w:r>
            <w:proofErr w:type="gramEnd"/>
            <w:r w:rsidRPr="00B47544">
              <w:t xml:space="preserve"> material from print and digital texts to develop a general overview or to locate specific information.</w:t>
            </w:r>
          </w:p>
          <w:p w:rsidR="00AB08F5" w:rsidRPr="00B47544" w:rsidRDefault="00AB08F5" w:rsidP="00AB08F5">
            <w:pPr>
              <w:pStyle w:val="Bullet1"/>
              <w:ind w:hanging="288"/>
            </w:pPr>
            <w:proofErr w:type="gramStart"/>
            <w:r w:rsidRPr="00B47544">
              <w:t>determine</w:t>
            </w:r>
            <w:proofErr w:type="gramEnd"/>
            <w:r w:rsidRPr="00B47544">
              <w:t xml:space="preserve"> the main idea of a text and summarize supporting key details.</w:t>
            </w:r>
          </w:p>
          <w:p w:rsidR="00AB08F5" w:rsidRPr="00B47544" w:rsidRDefault="00AB08F5" w:rsidP="00AB08F5">
            <w:pPr>
              <w:pStyle w:val="Bullet1"/>
              <w:ind w:hanging="288"/>
            </w:pPr>
            <w:proofErr w:type="gramStart"/>
            <w:r w:rsidRPr="00B47544">
              <w:t>identify</w:t>
            </w:r>
            <w:proofErr w:type="gramEnd"/>
            <w:r w:rsidRPr="00B47544">
              <w:t xml:space="preserve"> structural and organizational patterns such as cause and effect, comparison/contrast, problem/solution, and chronological order.</w:t>
            </w:r>
          </w:p>
          <w:p w:rsidR="00AB08F5" w:rsidRPr="00B47544" w:rsidRDefault="00AB08F5" w:rsidP="00AB08F5">
            <w:pPr>
              <w:pStyle w:val="Bullet1"/>
            </w:pPr>
            <w:proofErr w:type="gramStart"/>
            <w:r w:rsidRPr="00B47544">
              <w:t>identify</w:t>
            </w:r>
            <w:proofErr w:type="gramEnd"/>
            <w:r w:rsidRPr="00B47544">
              <w:t xml:space="preserve"> specific information in text that supports predictions.</w:t>
            </w:r>
          </w:p>
          <w:p w:rsidR="00AB08F5" w:rsidRPr="00B47544" w:rsidRDefault="00AB08F5" w:rsidP="00AB08F5">
            <w:pPr>
              <w:pStyle w:val="Bullet1"/>
            </w:pPr>
            <w:proofErr w:type="gramStart"/>
            <w:r w:rsidRPr="00B47544">
              <w:t>form</w:t>
            </w:r>
            <w:proofErr w:type="gramEnd"/>
            <w:r w:rsidRPr="00B47544">
              <w:t xml:space="preserve"> opinions and draw conclusions from the selection.</w:t>
            </w:r>
          </w:p>
          <w:p w:rsidR="00AB08F5" w:rsidRDefault="00AB08F5" w:rsidP="00AB08F5">
            <w:pPr>
              <w:pStyle w:val="Bullet1"/>
            </w:pPr>
            <w:proofErr w:type="gramStart"/>
            <w:r w:rsidRPr="00B47544">
              <w:t>locate</w:t>
            </w:r>
            <w:proofErr w:type="gramEnd"/>
            <w:r w:rsidRPr="00B47544">
              <w:t xml:space="preserve"> details to support opinions, predictions, and conclusions.</w:t>
            </w:r>
          </w:p>
          <w:p w:rsidR="00AB08F5" w:rsidRPr="00B47544" w:rsidRDefault="00AB08F5" w:rsidP="00AB08F5">
            <w:pPr>
              <w:pStyle w:val="Bullet1"/>
            </w:pPr>
            <w:proofErr w:type="gramStart"/>
            <w:r w:rsidRPr="00B47544">
              <w:t>identify</w:t>
            </w:r>
            <w:proofErr w:type="gramEnd"/>
            <w:r w:rsidRPr="00B47544">
              <w:t xml:space="preserve"> cause and effect relationships following transition words signaling the pattern.</w:t>
            </w:r>
          </w:p>
          <w:p w:rsidR="00AB08F5" w:rsidRPr="00B47544" w:rsidRDefault="00AB08F5" w:rsidP="00AB08F5">
            <w:pPr>
              <w:pStyle w:val="Bullet1"/>
            </w:pPr>
            <w:proofErr w:type="gramStart"/>
            <w:r w:rsidRPr="00B47544">
              <w:t>distinguish</w:t>
            </w:r>
            <w:proofErr w:type="gramEnd"/>
            <w:r w:rsidRPr="00B47544">
              <w:t xml:space="preserve"> between fact and opinion.</w:t>
            </w:r>
          </w:p>
          <w:p w:rsidR="00AB08F5" w:rsidRPr="00B47544" w:rsidRDefault="00AB08F5" w:rsidP="00AB08F5">
            <w:pPr>
              <w:pStyle w:val="Bullet1"/>
            </w:pPr>
            <w:proofErr w:type="gramStart"/>
            <w:r w:rsidRPr="00B47544">
              <w:t>identify</w:t>
            </w:r>
            <w:proofErr w:type="gramEnd"/>
            <w:r w:rsidRPr="00B47544">
              <w:t>, compare, and contrast relationships between characters, events, and facts.</w:t>
            </w:r>
          </w:p>
          <w:p w:rsidR="00AB08F5" w:rsidRPr="00B47544" w:rsidRDefault="00AB08F5" w:rsidP="00AB08F5">
            <w:pPr>
              <w:pStyle w:val="Bullet1"/>
            </w:pPr>
            <w:proofErr w:type="gramStart"/>
            <w:r w:rsidRPr="00B47544">
              <w:rPr>
                <w:rFonts w:cs="Gotham-Book"/>
              </w:rPr>
              <w:t>compare</w:t>
            </w:r>
            <w:proofErr w:type="gramEnd"/>
            <w:r w:rsidRPr="00B47544">
              <w:rPr>
                <w:rFonts w:cs="Gotham-Book"/>
              </w:rPr>
              <w:t xml:space="preserve"> and contrast a firsthand and secondhand account of the same event or topic; describe the differences in focus and the information provided.</w:t>
            </w:r>
          </w:p>
          <w:p w:rsidR="00464447" w:rsidRPr="00C67041" w:rsidRDefault="00464447" w:rsidP="00AB08F5">
            <w:pPr>
              <w:pStyle w:val="Bullet1"/>
              <w:numPr>
                <w:ilvl w:val="0"/>
                <w:numId w:val="0"/>
              </w:numPr>
              <w:ind w:left="360"/>
              <w:rPr>
                <w:sz w:val="24"/>
                <w:szCs w:val="24"/>
              </w:rPr>
            </w:pPr>
          </w:p>
        </w:tc>
      </w:tr>
    </w:tbl>
    <w:p w:rsidR="00C67041" w:rsidRDefault="00C67041" w:rsidP="00464447"/>
    <w:p w:rsidR="00AB08F5" w:rsidRDefault="00AB08F5" w:rsidP="00AB08F5">
      <w:pPr>
        <w:pStyle w:val="Heading1"/>
      </w:pPr>
      <w:r>
        <w:t>Standard 5cn1</w:t>
      </w:r>
      <w:r>
        <w:tab/>
        <w:t>REPORTING CATEGORY: comprehension-nonfiction</w:t>
      </w:r>
      <w:r>
        <w:tab/>
        <w:t>Content: Reading</w:t>
      </w:r>
      <w:r>
        <w:tab/>
      </w:r>
    </w:p>
    <w:p w:rsidR="00AB08F5" w:rsidRDefault="000E25E2" w:rsidP="00AB08F5">
      <w:pPr>
        <w:pStyle w:val="SOLStandard"/>
        <w:ind w:left="0" w:firstLine="0"/>
      </w:pPr>
      <w:r>
        <w:t xml:space="preserve">5E-CN1 </w:t>
      </w:r>
      <w:r w:rsidR="00AB08F5">
        <w:t xml:space="preserve">The student will </w:t>
      </w:r>
    </w:p>
    <w:p w:rsidR="00AB08F5" w:rsidRDefault="00AB08F5" w:rsidP="00AB08F5">
      <w:pPr>
        <w:pStyle w:val="SOLBullet"/>
      </w:pPr>
      <w:r>
        <w:t>a)</w:t>
      </w:r>
      <w:r>
        <w:tab/>
      </w:r>
      <w:proofErr w:type="gramStart"/>
      <w:r>
        <w:t>when</w:t>
      </w:r>
      <w:proofErr w:type="gramEnd"/>
      <w:r>
        <w:t xml:space="preserve"> given a nonfiction text identify the main ideas that are supported by the key details;</w:t>
      </w:r>
    </w:p>
    <w:p w:rsidR="00AB08F5" w:rsidRDefault="00AB08F5" w:rsidP="00AB08F5">
      <w:pPr>
        <w:pStyle w:val="SOLBullet"/>
      </w:pPr>
      <w:r>
        <w:t>b)</w:t>
      </w:r>
      <w:r>
        <w:tab/>
      </w:r>
      <w:proofErr w:type="gramStart"/>
      <w:r>
        <w:t>make</w:t>
      </w:r>
      <w:proofErr w:type="gramEnd"/>
      <w:r>
        <w:t xml:space="preserve"> connections between two individuals or events/actions in a nonfiction text;</w:t>
      </w:r>
    </w:p>
    <w:p w:rsidR="00AB08F5" w:rsidRDefault="00AB08F5" w:rsidP="00AB08F5">
      <w:pPr>
        <w:pStyle w:val="SOLBullet"/>
      </w:pPr>
      <w:r>
        <w:t>c)</w:t>
      </w:r>
      <w:r>
        <w:tab/>
      </w:r>
      <w:proofErr w:type="gramStart"/>
      <w:r>
        <w:t>identify</w:t>
      </w:r>
      <w:proofErr w:type="gramEnd"/>
      <w:r>
        <w:t xml:space="preserve"> the beginning, middle, and end of a nonfiction text with a clear sequential structure;</w:t>
      </w:r>
    </w:p>
    <w:p w:rsidR="00AB08F5" w:rsidRDefault="00AB08F5" w:rsidP="00AB08F5">
      <w:pPr>
        <w:pStyle w:val="SOLBullet"/>
      </w:pPr>
      <w:r>
        <w:t>d)</w:t>
      </w:r>
      <w:r>
        <w:tab/>
      </w:r>
      <w:proofErr w:type="gramStart"/>
      <w:r>
        <w:t>given</w:t>
      </w:r>
      <w:proofErr w:type="gramEnd"/>
      <w:r>
        <w:t xml:space="preserve"> two pieces of information on the same event or topic, note what is the same.</w:t>
      </w:r>
    </w:p>
    <w:p w:rsidR="00AB08F5" w:rsidRDefault="00AB08F5" w:rsidP="00AB08F5">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AB08F5" w:rsidTr="001111E8">
        <w:trPr>
          <w:cantSplit/>
          <w:trHeight w:hRule="exact" w:val="686"/>
        </w:trPr>
        <w:tc>
          <w:tcPr>
            <w:tcW w:w="4500" w:type="dxa"/>
            <w:vAlign w:val="center"/>
          </w:tcPr>
          <w:p w:rsidR="00AB08F5" w:rsidRDefault="00AB08F5" w:rsidP="001111E8">
            <w:pPr>
              <w:pStyle w:val="Heading3"/>
            </w:pPr>
            <w:r>
              <w:lastRenderedPageBreak/>
              <w:t>UNDERSTANDING THE STANDARD</w:t>
            </w:r>
          </w:p>
          <w:p w:rsidR="00AB08F5" w:rsidRDefault="00AB08F5" w:rsidP="001111E8">
            <w:pPr>
              <w:pStyle w:val="Heading3"/>
            </w:pPr>
            <w:r>
              <w:rPr>
                <w:sz w:val="20"/>
              </w:rPr>
              <w:t>(Teacher Notes)</w:t>
            </w:r>
          </w:p>
        </w:tc>
        <w:tc>
          <w:tcPr>
            <w:tcW w:w="3150" w:type="dxa"/>
            <w:vAlign w:val="center"/>
          </w:tcPr>
          <w:p w:rsidR="00AB08F5" w:rsidRDefault="00AB08F5" w:rsidP="001111E8">
            <w:pPr>
              <w:pStyle w:val="Heading3"/>
            </w:pPr>
            <w:r>
              <w:t>ESSENTIAL UNDERSTANDINGS</w:t>
            </w:r>
          </w:p>
        </w:tc>
        <w:tc>
          <w:tcPr>
            <w:tcW w:w="6750" w:type="dxa"/>
            <w:vAlign w:val="center"/>
          </w:tcPr>
          <w:p w:rsidR="00AB08F5" w:rsidRDefault="00AB08F5" w:rsidP="001111E8">
            <w:pPr>
              <w:pStyle w:val="Heading3"/>
            </w:pPr>
            <w:r>
              <w:t>ESSENTIAL KNOWLEDGE, SKILLS, AND PROCESSES</w:t>
            </w:r>
          </w:p>
        </w:tc>
      </w:tr>
      <w:tr w:rsidR="00AB08F5" w:rsidTr="001111E8">
        <w:trPr>
          <w:cantSplit/>
          <w:trHeight w:hRule="exact" w:val="7103"/>
        </w:trPr>
        <w:tc>
          <w:tcPr>
            <w:tcW w:w="4500" w:type="dxa"/>
          </w:tcPr>
          <w:p w:rsidR="00AB08F5" w:rsidRPr="00B47544" w:rsidRDefault="00AB08F5" w:rsidP="00AB08F5">
            <w:pPr>
              <w:pStyle w:val="Bullet1"/>
            </w:pPr>
            <w:r w:rsidRPr="00B47544">
              <w:t>Interactions between reader and text will become more sophisticated and deliberate as students make inferences, formulate opinions, and write to clarify their thinking</w:t>
            </w:r>
            <w:r>
              <w:t>.</w:t>
            </w:r>
          </w:p>
          <w:p w:rsidR="00AB08F5" w:rsidRPr="00C67041" w:rsidRDefault="00AB08F5" w:rsidP="00AB08F5">
            <w:pPr>
              <w:pStyle w:val="Bullet1"/>
              <w:rPr>
                <w:sz w:val="24"/>
                <w:szCs w:val="24"/>
              </w:rPr>
            </w:pPr>
            <w:r w:rsidRPr="00B47544">
              <w:rPr>
                <w:b/>
              </w:rPr>
              <w:t>Prosody</w:t>
            </w:r>
            <w:r w:rsidRPr="00B47544">
              <w:t xml:space="preserve"> refers to the rhythmic and </w:t>
            </w:r>
            <w:proofErr w:type="spellStart"/>
            <w:r w:rsidRPr="00B47544">
              <w:t>intonational</w:t>
            </w:r>
            <w:proofErr w:type="spellEnd"/>
            <w:r w:rsidRPr="00B47544">
              <w:t xml:space="preserve"> aspect of language, which should be noticeable during oral reading. Prosody contributes to reading fluency and comprehension.</w:t>
            </w:r>
          </w:p>
        </w:tc>
        <w:tc>
          <w:tcPr>
            <w:tcW w:w="3150" w:type="dxa"/>
          </w:tcPr>
          <w:p w:rsidR="00AB08F5" w:rsidRPr="00C67041" w:rsidRDefault="00AB08F5" w:rsidP="00AB08F5">
            <w:pPr>
              <w:pStyle w:val="Bullet1"/>
              <w:numPr>
                <w:ilvl w:val="0"/>
                <w:numId w:val="0"/>
              </w:numPr>
              <w:ind w:left="360"/>
              <w:rPr>
                <w:sz w:val="24"/>
                <w:szCs w:val="24"/>
              </w:rPr>
            </w:pPr>
          </w:p>
        </w:tc>
        <w:tc>
          <w:tcPr>
            <w:tcW w:w="6750" w:type="dxa"/>
          </w:tcPr>
          <w:p w:rsidR="00AB08F5" w:rsidRPr="00C67041" w:rsidRDefault="00AB08F5" w:rsidP="001111E8">
            <w:pPr>
              <w:pStyle w:val="BulletLeadIn"/>
              <w:rPr>
                <w:sz w:val="24"/>
                <w:szCs w:val="24"/>
              </w:rPr>
            </w:pPr>
            <w:r w:rsidRPr="00C67041">
              <w:rPr>
                <w:sz w:val="24"/>
                <w:szCs w:val="24"/>
              </w:rPr>
              <w:t>To be successful with this standard, students are expected to</w:t>
            </w:r>
          </w:p>
          <w:p w:rsidR="00AB08F5" w:rsidRPr="00B47544" w:rsidRDefault="00AB08F5" w:rsidP="00AB08F5">
            <w:pPr>
              <w:pStyle w:val="Bullet1"/>
            </w:pPr>
            <w:proofErr w:type="gramStart"/>
            <w:r w:rsidRPr="00B47544">
              <w:t>identify</w:t>
            </w:r>
            <w:proofErr w:type="gramEnd"/>
            <w:r w:rsidRPr="00B47544">
              <w:t xml:space="preserve"> new information learned from reading.</w:t>
            </w:r>
          </w:p>
          <w:p w:rsidR="00AB08F5" w:rsidRPr="00B47544" w:rsidRDefault="00AB08F5" w:rsidP="00AB08F5">
            <w:pPr>
              <w:pStyle w:val="Bullet1"/>
            </w:pPr>
            <w:proofErr w:type="gramStart"/>
            <w:r w:rsidRPr="00B47544">
              <w:t>become</w:t>
            </w:r>
            <w:proofErr w:type="gramEnd"/>
            <w:r w:rsidRPr="00B47544">
              <w:t xml:space="preserve"> aware of when they do not understand (e.g., by reflecting upon and articulating what exactly is causing difficulty).</w:t>
            </w:r>
          </w:p>
          <w:p w:rsidR="00AB08F5" w:rsidRPr="00C67041" w:rsidRDefault="00AB08F5" w:rsidP="00AB08F5">
            <w:pPr>
              <w:pStyle w:val="Bullet1"/>
              <w:rPr>
                <w:sz w:val="24"/>
                <w:szCs w:val="24"/>
              </w:rPr>
            </w:pPr>
            <w:proofErr w:type="gramStart"/>
            <w:r w:rsidRPr="00B47544">
              <w:t>read</w:t>
            </w:r>
            <w:proofErr w:type="gramEnd"/>
            <w:r w:rsidRPr="00B47544">
              <w:t xml:space="preserve"> familiar text with fluency, accuracy, and prosody.</w:t>
            </w:r>
          </w:p>
        </w:tc>
      </w:tr>
    </w:tbl>
    <w:p w:rsidR="00AB08F5" w:rsidRDefault="00AB08F5" w:rsidP="00464447"/>
    <w:sectPr w:rsidR="00AB08F5" w:rsidSect="00FA09D8">
      <w:footerReference w:type="default" r:id="rId8"/>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78B" w:rsidRDefault="0033778B">
      <w:r>
        <w:separator/>
      </w:r>
    </w:p>
  </w:endnote>
  <w:endnote w:type="continuationSeparator" w:id="0">
    <w:p w:rsidR="0033778B" w:rsidRDefault="00337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8B" w:rsidRDefault="0033706E">
    <w:pPr>
      <w:pStyle w:val="Footer"/>
      <w:framePr w:wrap="around" w:vAnchor="text" w:hAnchor="margin" w:xAlign="right" w:y="1"/>
      <w:rPr>
        <w:rStyle w:val="PageNumber"/>
        <w:sz w:val="18"/>
      </w:rPr>
    </w:pPr>
    <w:r>
      <w:rPr>
        <w:rStyle w:val="PageNumber"/>
        <w:sz w:val="18"/>
      </w:rPr>
      <w:fldChar w:fldCharType="begin"/>
    </w:r>
    <w:r w:rsidR="0033778B">
      <w:rPr>
        <w:rStyle w:val="PageNumber"/>
        <w:sz w:val="18"/>
      </w:rPr>
      <w:instrText xml:space="preserve">PAGE  </w:instrText>
    </w:r>
    <w:r>
      <w:rPr>
        <w:rStyle w:val="PageNumber"/>
        <w:sz w:val="18"/>
      </w:rPr>
      <w:fldChar w:fldCharType="separate"/>
    </w:r>
    <w:r w:rsidR="005B1942">
      <w:rPr>
        <w:rStyle w:val="PageNumber"/>
        <w:noProof/>
        <w:sz w:val="18"/>
      </w:rPr>
      <w:t>10</w:t>
    </w:r>
    <w:r>
      <w:rPr>
        <w:rStyle w:val="PageNumber"/>
        <w:sz w:val="18"/>
      </w:rPr>
      <w:fldChar w:fldCharType="end"/>
    </w:r>
  </w:p>
  <w:p w:rsidR="0033778B" w:rsidRDefault="0033778B" w:rsidP="008A6B21">
    <w:pPr>
      <w:pStyle w:val="Footer"/>
      <w:ind w:right="360"/>
      <w:jc w:val="center"/>
      <w:rPr>
        <w:sz w:val="18"/>
        <w:lang w:val="fr-FR"/>
      </w:rPr>
    </w:pPr>
    <w:r>
      <w:rPr>
        <w:sz w:val="18"/>
        <w:lang w:val="fr-FR"/>
      </w:rPr>
      <w:t xml:space="preserve">Reading </w:t>
    </w:r>
    <w:proofErr w:type="spellStart"/>
    <w:r>
      <w:rPr>
        <w:sz w:val="18"/>
        <w:lang w:val="fr-FR"/>
      </w:rPr>
      <w:t>Aligned</w:t>
    </w:r>
    <w:proofErr w:type="spellEnd"/>
    <w:r>
      <w:rPr>
        <w:sz w:val="18"/>
        <w:lang w:val="fr-FR"/>
      </w:rPr>
      <w:t xml:space="preserve"> Standards of Learni</w:t>
    </w:r>
    <w:r w:rsidR="00E10CCE">
      <w:rPr>
        <w:sz w:val="18"/>
        <w:lang w:val="fr-FR"/>
      </w:rPr>
      <w:t xml:space="preserve">ng Curriculum </w:t>
    </w:r>
    <w:proofErr w:type="gramStart"/>
    <w:r w:rsidR="00E10CCE">
      <w:rPr>
        <w:sz w:val="18"/>
        <w:lang w:val="fr-FR"/>
      </w:rPr>
      <w:t>Framework  GRADE</w:t>
    </w:r>
    <w:proofErr w:type="gramEnd"/>
    <w:r w:rsidR="00E10CCE">
      <w:rPr>
        <w:sz w:val="18"/>
        <w:lang w:val="fr-FR"/>
      </w:rPr>
      <w:t xml:space="preserve"> </w:t>
    </w:r>
    <w:r w:rsidR="008069FB">
      <w:rPr>
        <w:sz w:val="18"/>
        <w:lang w:val="fr-FR"/>
      </w:rPr>
      <w:t>5</w:t>
    </w:r>
    <w:r>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78B" w:rsidRDefault="0033778B">
      <w:r>
        <w:separator/>
      </w:r>
    </w:p>
  </w:footnote>
  <w:footnote w:type="continuationSeparator" w:id="0">
    <w:p w:rsidR="0033778B" w:rsidRDefault="00337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2616460"/>
    <w:multiLevelType w:val="hybridMultilevel"/>
    <w:tmpl w:val="EF6486E8"/>
    <w:lvl w:ilvl="0" w:tplc="0C324CA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3" w15:restartNumberingAfterBreak="0">
    <w:nsid w:val="0FD50634"/>
    <w:multiLevelType w:val="hybridMultilevel"/>
    <w:tmpl w:val="7ABA9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5" w15:restartNumberingAfterBreak="0">
    <w:nsid w:val="1352660C"/>
    <w:multiLevelType w:val="hybridMultilevel"/>
    <w:tmpl w:val="6F6CEC4A"/>
    <w:lvl w:ilvl="0" w:tplc="63EA9F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1549B"/>
    <w:multiLevelType w:val="hybridMultilevel"/>
    <w:tmpl w:val="410A6DFE"/>
    <w:lvl w:ilvl="0" w:tplc="04090001">
      <w:start w:val="1"/>
      <w:numFmt w:val="bullet"/>
      <w:lvlText w:val=""/>
      <w:lvlJc w:val="left"/>
      <w:pPr>
        <w:ind w:left="360" w:hanging="360"/>
      </w:pPr>
      <w:rPr>
        <w:rFonts w:ascii="Symbol" w:hAnsi="Symbol" w:hint="default"/>
      </w:rPr>
    </w:lvl>
    <w:lvl w:ilvl="1" w:tplc="2F7AB30A">
      <w:numFmt w:val="bullet"/>
      <w:lvlText w:val="•"/>
      <w:lvlJc w:val="left"/>
      <w:pPr>
        <w:ind w:left="1080" w:hanging="360"/>
      </w:pPr>
      <w:rPr>
        <w:rFonts w:ascii="Times New Roman" w:eastAsia="Times"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24E4911"/>
    <w:multiLevelType w:val="hybridMultilevel"/>
    <w:tmpl w:val="A7FE27A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15:restartNumberingAfterBreak="0">
    <w:nsid w:val="23CF02E5"/>
    <w:multiLevelType w:val="hybridMultilevel"/>
    <w:tmpl w:val="B4244728"/>
    <w:lvl w:ilvl="0" w:tplc="4510CB9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BE0298"/>
    <w:multiLevelType w:val="hybridMultilevel"/>
    <w:tmpl w:val="48787D0C"/>
    <w:lvl w:ilvl="0" w:tplc="B4BC37B4">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364140"/>
    <w:multiLevelType w:val="hybridMultilevel"/>
    <w:tmpl w:val="DF2EAA98"/>
    <w:lvl w:ilvl="0" w:tplc="743A52D6">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D06F8"/>
    <w:multiLevelType w:val="hybridMultilevel"/>
    <w:tmpl w:val="1E7246A6"/>
    <w:lvl w:ilvl="0" w:tplc="63EA9F6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B0CF1"/>
    <w:multiLevelType w:val="hybridMultilevel"/>
    <w:tmpl w:val="49443F56"/>
    <w:lvl w:ilvl="0" w:tplc="63EA9F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A182F"/>
    <w:multiLevelType w:val="hybridMultilevel"/>
    <w:tmpl w:val="28B2B23A"/>
    <w:lvl w:ilvl="0" w:tplc="63EA9F6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C231B1"/>
    <w:multiLevelType w:val="hybridMultilevel"/>
    <w:tmpl w:val="5420A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26" w15:restartNumberingAfterBreak="0">
    <w:nsid w:val="670920B2"/>
    <w:multiLevelType w:val="hybridMultilevel"/>
    <w:tmpl w:val="099E5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DA18DF"/>
    <w:multiLevelType w:val="hybridMultilevel"/>
    <w:tmpl w:val="C7CEB230"/>
    <w:lvl w:ilvl="0" w:tplc="63EA9F60">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6480D"/>
    <w:multiLevelType w:val="hybridMultilevel"/>
    <w:tmpl w:val="9D08C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6364769"/>
    <w:multiLevelType w:val="hybridMultilevel"/>
    <w:tmpl w:val="6E5C29AC"/>
    <w:lvl w:ilvl="0" w:tplc="0C324CA0">
      <w:start w:val="1"/>
      <w:numFmt w:val="bullet"/>
      <w:lvlText w:val=""/>
      <w:lvlJc w:val="left"/>
      <w:pPr>
        <w:ind w:left="432" w:hanging="360"/>
      </w:pPr>
      <w:rPr>
        <w:rFonts w:ascii="Symbol" w:hAnsi="Symbol" w:hint="default"/>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7EDC24DD"/>
    <w:multiLevelType w:val="hybridMultilevel"/>
    <w:tmpl w:val="C92087B0"/>
    <w:lvl w:ilvl="0" w:tplc="0C324CA0">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5"/>
  </w:num>
  <w:num w:numId="14">
    <w:abstractNumId w:val="12"/>
  </w:num>
  <w:num w:numId="15">
    <w:abstractNumId w:val="16"/>
  </w:num>
  <w:num w:numId="16">
    <w:abstractNumId w:val="24"/>
  </w:num>
  <w:num w:numId="17">
    <w:abstractNumId w:val="19"/>
  </w:num>
  <w:num w:numId="18">
    <w:abstractNumId w:val="20"/>
  </w:num>
  <w:num w:numId="19">
    <w:abstractNumId w:val="23"/>
  </w:num>
  <w:num w:numId="20">
    <w:abstractNumId w:val="13"/>
  </w:num>
  <w:num w:numId="21">
    <w:abstractNumId w:val="29"/>
  </w:num>
  <w:num w:numId="22">
    <w:abstractNumId w:val="11"/>
  </w:num>
  <w:num w:numId="23">
    <w:abstractNumId w:val="26"/>
  </w:num>
  <w:num w:numId="24">
    <w:abstractNumId w:val="21"/>
  </w:num>
  <w:num w:numId="25">
    <w:abstractNumId w:val="30"/>
  </w:num>
  <w:num w:numId="26">
    <w:abstractNumId w:val="28"/>
  </w:num>
  <w:num w:numId="27">
    <w:abstractNumId w:val="15"/>
  </w:num>
  <w:num w:numId="28">
    <w:abstractNumId w:val="27"/>
  </w:num>
  <w:num w:numId="29">
    <w:abstractNumId w:val="22"/>
  </w:num>
  <w:num w:numId="30">
    <w:abstractNumId w:val="18"/>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79C1"/>
    <w:rsid w:val="000839D4"/>
    <w:rsid w:val="000E25E2"/>
    <w:rsid w:val="000E33F1"/>
    <w:rsid w:val="00121380"/>
    <w:rsid w:val="00167C34"/>
    <w:rsid w:val="001B3D51"/>
    <w:rsid w:val="001C0D6A"/>
    <w:rsid w:val="001F5ADE"/>
    <w:rsid w:val="00234239"/>
    <w:rsid w:val="002916EB"/>
    <w:rsid w:val="002B4016"/>
    <w:rsid w:val="00302633"/>
    <w:rsid w:val="003262A8"/>
    <w:rsid w:val="003303B7"/>
    <w:rsid w:val="0033706E"/>
    <w:rsid w:val="0033778B"/>
    <w:rsid w:val="00346E13"/>
    <w:rsid w:val="003F78E3"/>
    <w:rsid w:val="00410549"/>
    <w:rsid w:val="0041491B"/>
    <w:rsid w:val="00441C15"/>
    <w:rsid w:val="00447093"/>
    <w:rsid w:val="00464447"/>
    <w:rsid w:val="004E719D"/>
    <w:rsid w:val="00506B46"/>
    <w:rsid w:val="00515CC3"/>
    <w:rsid w:val="00522588"/>
    <w:rsid w:val="00545B12"/>
    <w:rsid w:val="00553021"/>
    <w:rsid w:val="00563A61"/>
    <w:rsid w:val="00576BE1"/>
    <w:rsid w:val="005B1942"/>
    <w:rsid w:val="00641B29"/>
    <w:rsid w:val="00675F21"/>
    <w:rsid w:val="00681EB8"/>
    <w:rsid w:val="00683A73"/>
    <w:rsid w:val="0072066D"/>
    <w:rsid w:val="00775F6F"/>
    <w:rsid w:val="007A1F8C"/>
    <w:rsid w:val="007B4046"/>
    <w:rsid w:val="007D214B"/>
    <w:rsid w:val="008069FB"/>
    <w:rsid w:val="00862A0A"/>
    <w:rsid w:val="00876278"/>
    <w:rsid w:val="00894178"/>
    <w:rsid w:val="008A100F"/>
    <w:rsid w:val="008A3C37"/>
    <w:rsid w:val="008A6B21"/>
    <w:rsid w:val="008F5F4A"/>
    <w:rsid w:val="00920F9A"/>
    <w:rsid w:val="0097433F"/>
    <w:rsid w:val="00A04CB7"/>
    <w:rsid w:val="00A830B0"/>
    <w:rsid w:val="00A86C40"/>
    <w:rsid w:val="00AB08F5"/>
    <w:rsid w:val="00B26CA9"/>
    <w:rsid w:val="00B31A2B"/>
    <w:rsid w:val="00B66B86"/>
    <w:rsid w:val="00B824D5"/>
    <w:rsid w:val="00B90CBE"/>
    <w:rsid w:val="00BE4CCA"/>
    <w:rsid w:val="00BF2670"/>
    <w:rsid w:val="00C24ABE"/>
    <w:rsid w:val="00C67041"/>
    <w:rsid w:val="00CA44B1"/>
    <w:rsid w:val="00CE2128"/>
    <w:rsid w:val="00D2053A"/>
    <w:rsid w:val="00D550E3"/>
    <w:rsid w:val="00DB4182"/>
    <w:rsid w:val="00DD0488"/>
    <w:rsid w:val="00E079D5"/>
    <w:rsid w:val="00E10CCE"/>
    <w:rsid w:val="00E24BE7"/>
    <w:rsid w:val="00EB0EA1"/>
    <w:rsid w:val="00EF2468"/>
    <w:rsid w:val="00F05759"/>
    <w:rsid w:val="00F1190D"/>
    <w:rsid w:val="00FA09D8"/>
    <w:rsid w:val="00FA6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regrouptable v:ext="edit">
        <o:entry new="1" old="0"/>
        <o:entry new="2" old="1"/>
      </o:regrouptable>
    </o:shapelayout>
  </w:shapeDefaults>
  <w:decimalSymbol w:val="."/>
  <w:listSeparator w:val=","/>
  <w14:docId w14:val="7DAC5CCC"/>
  <w15:docId w15:val="{BAC96DB9-920E-4D05-A914-0F12FB37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1837</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5</cp:revision>
  <cp:lastPrinted>2012-08-28T16:48:00Z</cp:lastPrinted>
  <dcterms:created xsi:type="dcterms:W3CDTF">2018-10-09T16:40:00Z</dcterms:created>
  <dcterms:modified xsi:type="dcterms:W3CDTF">2018-10-25T16:23:00Z</dcterms:modified>
</cp:coreProperties>
</file>