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43" w:lineRule="auto" w:before="87"/>
        <w:ind w:left="27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5672454</wp:posOffset>
            </wp:positionH>
            <wp:positionV relativeFrom="paragraph">
              <wp:posOffset>352425</wp:posOffset>
            </wp:positionV>
            <wp:extent cx="1449703" cy="897877"/>
            <wp:effectExtent l="0" t="0" r="0" b="0"/>
            <wp:wrapNone/>
            <wp:docPr id="1" name="Image 1" descr="P1#y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P1#y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703" cy="897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C5593"/>
          <w:sz w:val="28"/>
        </w:rPr>
        <w:t>Educadores</w:t>
      </w:r>
      <w:r>
        <w:rPr>
          <w:b/>
          <w:color w:val="2C5593"/>
          <w:spacing w:val="-6"/>
          <w:sz w:val="28"/>
        </w:rPr>
        <w:t> </w:t>
      </w:r>
      <w:r>
        <w:rPr>
          <w:b/>
          <w:color w:val="2C5593"/>
          <w:sz w:val="28"/>
        </w:rPr>
        <w:t>de</w:t>
      </w:r>
      <w:r>
        <w:rPr>
          <w:b/>
          <w:color w:val="2C5593"/>
          <w:spacing w:val="-5"/>
          <w:sz w:val="28"/>
        </w:rPr>
        <w:t> </w:t>
      </w:r>
      <w:r>
        <w:rPr>
          <w:b/>
          <w:color w:val="2C5593"/>
          <w:sz w:val="28"/>
        </w:rPr>
        <w:t>Niñez</w:t>
      </w:r>
      <w:r>
        <w:rPr>
          <w:b/>
          <w:color w:val="2C5593"/>
          <w:spacing w:val="-5"/>
          <w:sz w:val="28"/>
        </w:rPr>
        <w:t> </w:t>
      </w:r>
      <w:r>
        <w:rPr>
          <w:b/>
          <w:color w:val="2C5593"/>
          <w:sz w:val="28"/>
        </w:rPr>
        <w:t>Temprana</w:t>
      </w:r>
      <w:r>
        <w:rPr>
          <w:b/>
          <w:color w:val="2C5593"/>
          <w:spacing w:val="-6"/>
          <w:sz w:val="28"/>
        </w:rPr>
        <w:t> </w:t>
      </w:r>
      <w:r>
        <w:rPr>
          <w:b/>
          <w:color w:val="2C5593"/>
          <w:sz w:val="28"/>
        </w:rPr>
        <w:t>Colaborando</w:t>
      </w:r>
      <w:r>
        <w:rPr>
          <w:b/>
          <w:color w:val="2C5593"/>
          <w:spacing w:val="-5"/>
          <w:sz w:val="28"/>
        </w:rPr>
        <w:t> </w:t>
      </w:r>
      <w:r>
        <w:rPr>
          <w:b/>
          <w:color w:val="2C5593"/>
          <w:sz w:val="28"/>
        </w:rPr>
        <w:t>para</w:t>
      </w:r>
      <w:r>
        <w:rPr>
          <w:b/>
          <w:color w:val="2C5593"/>
          <w:spacing w:val="-6"/>
          <w:sz w:val="28"/>
        </w:rPr>
        <w:t> </w:t>
      </w:r>
      <w:r>
        <w:rPr>
          <w:b/>
          <w:color w:val="2C5593"/>
          <w:sz w:val="28"/>
        </w:rPr>
        <w:t>Atender</w:t>
      </w:r>
      <w:r>
        <w:rPr>
          <w:b/>
          <w:color w:val="2C5593"/>
          <w:spacing w:val="-6"/>
          <w:sz w:val="28"/>
        </w:rPr>
        <w:t> </w:t>
      </w:r>
      <w:r>
        <w:rPr>
          <w:b/>
          <w:color w:val="2C5593"/>
          <w:sz w:val="28"/>
        </w:rPr>
        <w:t>las Necesidades Especiales de Niños</w:t>
      </w:r>
    </w:p>
    <w:p>
      <w:pPr>
        <w:pStyle w:val="Heading1"/>
        <w:spacing w:line="455" w:lineRule="exact"/>
      </w:pPr>
      <w:r>
        <w:rPr>
          <w:color w:val="004080"/>
        </w:rPr>
        <w:t>Servicios</w:t>
      </w:r>
      <w:r>
        <w:rPr>
          <w:color w:val="004080"/>
          <w:spacing w:val="-2"/>
        </w:rPr>
        <w:t> </w:t>
      </w:r>
      <w:r>
        <w:rPr>
          <w:color w:val="004080"/>
        </w:rPr>
        <w:t>Itinerantes</w:t>
      </w:r>
      <w:r>
        <w:rPr>
          <w:color w:val="004080"/>
          <w:spacing w:val="-3"/>
        </w:rPr>
        <w:t> </w:t>
      </w:r>
      <w:r>
        <w:rPr>
          <w:color w:val="004080"/>
        </w:rPr>
        <w:t>de</w:t>
      </w:r>
      <w:r>
        <w:rPr>
          <w:color w:val="004080"/>
          <w:spacing w:val="-1"/>
        </w:rPr>
        <w:t> </w:t>
      </w:r>
      <w:r>
        <w:rPr>
          <w:color w:val="004080"/>
          <w:spacing w:val="-2"/>
        </w:rPr>
        <w:t>Educación</w:t>
      </w:r>
    </w:p>
    <w:p>
      <w:pPr>
        <w:spacing w:before="98"/>
        <w:ind w:left="27" w:right="0" w:firstLine="0"/>
        <w:jc w:val="left"/>
        <w:rPr>
          <w:b/>
          <w:sz w:val="42"/>
        </w:rPr>
      </w:pPr>
      <w:r>
        <w:rPr>
          <w:b/>
          <w:color w:val="004080"/>
          <w:sz w:val="42"/>
        </w:rPr>
        <w:t>Especial</w:t>
      </w:r>
      <w:r>
        <w:rPr>
          <w:b/>
          <w:color w:val="004080"/>
          <w:spacing w:val="-6"/>
          <w:sz w:val="42"/>
        </w:rPr>
        <w:t> </w:t>
      </w:r>
      <w:r>
        <w:rPr>
          <w:b/>
          <w:color w:val="004080"/>
          <w:sz w:val="42"/>
        </w:rPr>
        <w:t>en</w:t>
      </w:r>
      <w:r>
        <w:rPr>
          <w:b/>
          <w:color w:val="004080"/>
          <w:spacing w:val="-5"/>
          <w:sz w:val="42"/>
        </w:rPr>
        <w:t> </w:t>
      </w:r>
      <w:r>
        <w:rPr>
          <w:b/>
          <w:color w:val="004080"/>
          <w:sz w:val="42"/>
        </w:rPr>
        <w:t>la</w:t>
      </w:r>
      <w:r>
        <w:rPr>
          <w:b/>
          <w:color w:val="004080"/>
          <w:spacing w:val="-4"/>
          <w:sz w:val="42"/>
        </w:rPr>
        <w:t> </w:t>
      </w:r>
      <w:r>
        <w:rPr>
          <w:b/>
          <w:color w:val="004080"/>
          <w:sz w:val="42"/>
        </w:rPr>
        <w:t>Niñez</w:t>
      </w:r>
      <w:r>
        <w:rPr>
          <w:b/>
          <w:color w:val="004080"/>
          <w:spacing w:val="-5"/>
          <w:sz w:val="42"/>
        </w:rPr>
        <w:t> </w:t>
      </w:r>
      <w:r>
        <w:rPr>
          <w:b/>
          <w:color w:val="004080"/>
          <w:spacing w:val="-2"/>
          <w:sz w:val="42"/>
        </w:rPr>
        <w:t>Temprana</w:t>
      </w:r>
    </w:p>
    <w:p>
      <w:pPr>
        <w:pStyle w:val="BodyText"/>
        <w:spacing w:before="8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798828</wp:posOffset>
                </wp:positionH>
                <wp:positionV relativeFrom="paragraph">
                  <wp:posOffset>213994</wp:posOffset>
                </wp:positionV>
                <wp:extent cx="62204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 h="0">
                              <a:moveTo>
                                <a:pt x="0" y="0"/>
                              </a:moveTo>
                              <a:lnTo>
                                <a:pt x="6219863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2E5D9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899899pt;margin-top:16.849958pt;width:489.8pt;height:.1pt;mso-position-horizontal-relative:page;mso-position-vertical-relative:paragraph;z-index:-15728640;mso-wrap-distance-left:0;mso-wrap-distance-right:0" id="docshape1" coordorigin="1258,337" coordsize="9796,0" path="m1258,337l11053,337e" filled="false" stroked="true" strokeweight="2.25pt" strokecolor="#2e5d9e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85" w:lineRule="auto" w:before="236"/>
        <w:ind w:left="154" w:right="311" w:firstLine="0"/>
        <w:jc w:val="left"/>
        <w:rPr>
          <w:i/>
          <w:sz w:val="22"/>
        </w:rPr>
      </w:pPr>
      <w:r>
        <w:rPr>
          <w:i/>
          <w:sz w:val="22"/>
        </w:rPr>
        <w:t>Las divisiones escolares locales brindan servicios de educación especial a niños pequeños, de dos a</w:t>
      </w:r>
      <w:r>
        <w:rPr>
          <w:i/>
          <w:sz w:val="22"/>
        </w:rPr>
        <w:t> cinco años, que presentan atrasos en el desarrollo o discapacidades. Dependiendo de las necesidades de aprendizaje del niño, estos servicios pueden proveerse en entornos de cuidado y educación de niñez temprana (ECCE, por sus siglas en inglés), como la Iniciativa Preescolar de Virginia, Head Start,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Entrega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Mixta,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cuidado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niños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programas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preescolares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comunitarios.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Cuando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servicios de educación especial se ofrecen en entornos ECCE, los maestros </w:t>
      </w:r>
      <w:r>
        <w:rPr>
          <w:b/>
          <w:i/>
          <w:sz w:val="22"/>
        </w:rPr>
        <w:t>Itinerantes de Educación</w:t>
      </w:r>
      <w:r>
        <w:rPr>
          <w:b/>
          <w:i/>
          <w:sz w:val="22"/>
        </w:rPr>
        <w:t> Especial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de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Niñez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Temprana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(IECSE,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por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sus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siglas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en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inglés)</w:t>
      </w:r>
      <w:r>
        <w:rPr>
          <w:b/>
          <w:i/>
          <w:spacing w:val="-4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división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escolar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viajan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z w:val="22"/>
        </w:rPr>
        <w:t> el salón de clases para implementar el Programa de Educación Individualizado (IEP, por sus siglas en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inglés) 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niño.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Ellos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colaboran con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maestro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clase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niño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para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identificar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implementar estrategias que apoyen el aprendizaje y la participación del niño junto con sus compañeros sin </w:t>
      </w:r>
      <w:r>
        <w:rPr>
          <w:i/>
          <w:spacing w:val="-2"/>
          <w:sz w:val="22"/>
        </w:rPr>
        <w:t>discapacidades.</w:t>
      </w:r>
    </w:p>
    <w:p>
      <w:pPr>
        <w:pStyle w:val="BodyText"/>
        <w:spacing w:line="285" w:lineRule="auto" w:before="144"/>
        <w:ind w:left="158" w:right="3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4574538</wp:posOffset>
                </wp:positionH>
                <wp:positionV relativeFrom="paragraph">
                  <wp:posOffset>1274204</wp:posOffset>
                </wp:positionV>
                <wp:extent cx="1270" cy="46609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4660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4660900">
                              <a:moveTo>
                                <a:pt x="0" y="466068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2C559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60.19989pt,467.314078pt" to="360.19989pt,100.331078pt" stroked="true" strokeweight="2.25pt" strokecolor="#2c5593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1035062</wp:posOffset>
            </wp:positionH>
            <wp:positionV relativeFrom="paragraph">
              <wp:posOffset>1317500</wp:posOffset>
            </wp:positionV>
            <wp:extent cx="3009887" cy="1327140"/>
            <wp:effectExtent l="0" t="0" r="0" b="0"/>
            <wp:wrapNone/>
            <wp:docPr id="4" name="Image 4" descr="Two teachers and a child in a classroom 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Two teachers and a child in a classroom 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887" cy="132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Los maestros colaboran en formas de incorporar las metas del IEP del niño en la rutina y actividades diarias.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maestro IECSE ayuda</w:t>
      </w:r>
      <w:r>
        <w:rPr>
          <w:spacing w:val="-1"/>
        </w:rPr>
        <w:t> </w:t>
      </w:r>
      <w:r>
        <w:rPr/>
        <w:t>al maestro del salón de clases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desarrollar</w:t>
      </w:r>
      <w:r>
        <w:rPr>
          <w:spacing w:val="-1"/>
        </w:rPr>
        <w:t> </w:t>
      </w:r>
      <w:r>
        <w:rPr/>
        <w:t>cualquier</w:t>
      </w:r>
      <w:r>
        <w:rPr>
          <w:spacing w:val="-1"/>
        </w:rPr>
        <w:t> </w:t>
      </w:r>
      <w:r>
        <w:rPr/>
        <w:t>habilidad</w:t>
      </w:r>
      <w:r>
        <w:rPr>
          <w:spacing w:val="-1"/>
        </w:rPr>
        <w:t> </w:t>
      </w:r>
      <w:r>
        <w:rPr/>
        <w:t>nueva que</w:t>
      </w:r>
      <w:r>
        <w:rPr>
          <w:spacing w:val="-1"/>
        </w:rPr>
        <w:t> </w:t>
      </w:r>
      <w:r>
        <w:rPr/>
        <w:t>sea</w:t>
      </w:r>
      <w:r>
        <w:rPr>
          <w:spacing w:val="-1"/>
        </w:rPr>
        <w:t> </w:t>
      </w:r>
      <w:r>
        <w:rPr/>
        <w:t>necesaria,</w:t>
      </w:r>
      <w:r>
        <w:rPr>
          <w:spacing w:val="-1"/>
        </w:rPr>
        <w:t> </w:t>
      </w:r>
      <w:r>
        <w:rPr/>
        <w:t>mediante</w:t>
      </w:r>
      <w:r>
        <w:rPr>
          <w:spacing w:val="-1"/>
        </w:rPr>
        <w:t> </w:t>
      </w:r>
      <w:r>
        <w:rPr/>
        <w:t>consulta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asesoría.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itinerante también</w:t>
      </w:r>
      <w:r>
        <w:rPr>
          <w:spacing w:val="-2"/>
        </w:rPr>
        <w:t> </w:t>
      </w:r>
      <w:r>
        <w:rPr/>
        <w:t>puede</w:t>
      </w:r>
      <w:r>
        <w:rPr>
          <w:spacing w:val="-1"/>
        </w:rPr>
        <w:t> </w:t>
      </w:r>
      <w:r>
        <w:rPr/>
        <w:t>proporcionar</w:t>
      </w:r>
      <w:r>
        <w:rPr>
          <w:spacing w:val="-2"/>
        </w:rPr>
        <w:t> </w:t>
      </w:r>
      <w:r>
        <w:rPr/>
        <w:t>instrucción directa, ayudar a monitorear el progreso y comunicarse con las familias y otros proveedores de servicios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garantizar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prestación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servicios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IEP.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IEP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niño</w:t>
      </w:r>
      <w:r>
        <w:rPr>
          <w:spacing w:val="-2"/>
        </w:rPr>
        <w:t> </w:t>
      </w:r>
      <w:r>
        <w:rPr/>
        <w:t>especifica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cantidad</w:t>
      </w:r>
      <w:r>
        <w:rPr>
          <w:spacing w:val="-3"/>
        </w:rPr>
        <w:t> </w:t>
      </w:r>
      <w:r>
        <w:rPr/>
        <w:t>de tiempo que el maestro IECSE pasará en el salón de clases y con el maestro del aula.</w:t>
      </w: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560" w:bottom="0" w:left="1080" w:right="72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23"/>
        <w:rPr>
          <w:sz w:val="26"/>
        </w:rPr>
      </w:pPr>
    </w:p>
    <w:p>
      <w:pPr>
        <w:pStyle w:val="Heading2"/>
      </w:pPr>
      <w:r>
        <w:rPr>
          <w:color w:val="2C5593"/>
        </w:rPr>
        <w:t>COLABORACIONES</w:t>
      </w:r>
      <w:r>
        <w:rPr>
          <w:color w:val="2C5593"/>
          <w:spacing w:val="-11"/>
        </w:rPr>
        <w:t> </w:t>
      </w:r>
      <w:r>
        <w:rPr>
          <w:color w:val="2C5593"/>
          <w:spacing w:val="-2"/>
        </w:rPr>
        <w:t>EXITOSAS</w:t>
      </w:r>
    </w:p>
    <w:p>
      <w:pPr>
        <w:pStyle w:val="BodyText"/>
        <w:spacing w:line="285" w:lineRule="auto" w:before="145"/>
        <w:ind w:left="154"/>
      </w:pPr>
      <w:r>
        <w:rPr>
          <w:color w:val="06080D"/>
        </w:rPr>
        <w:t>Los servicios Itinerantes de Educación Especial de Niñez Temprana son más exitosos cuando los maestros de educación</w:t>
      </w:r>
      <w:r>
        <w:rPr>
          <w:color w:val="06080D"/>
          <w:spacing w:val="-6"/>
        </w:rPr>
        <w:t> </w:t>
      </w:r>
      <w:r>
        <w:rPr>
          <w:color w:val="06080D"/>
        </w:rPr>
        <w:t>infantil</w:t>
      </w:r>
      <w:r>
        <w:rPr>
          <w:color w:val="06080D"/>
          <w:spacing w:val="-5"/>
        </w:rPr>
        <w:t> </w:t>
      </w:r>
      <w:r>
        <w:rPr>
          <w:color w:val="06080D"/>
        </w:rPr>
        <w:t>y</w:t>
      </w:r>
      <w:r>
        <w:rPr>
          <w:color w:val="06080D"/>
          <w:spacing w:val="-6"/>
        </w:rPr>
        <w:t> </w:t>
      </w:r>
      <w:r>
        <w:rPr>
          <w:color w:val="06080D"/>
        </w:rPr>
        <w:t>los</w:t>
      </w:r>
      <w:r>
        <w:rPr>
          <w:color w:val="06080D"/>
          <w:spacing w:val="-5"/>
        </w:rPr>
        <w:t> </w:t>
      </w:r>
      <w:r>
        <w:rPr>
          <w:color w:val="06080D"/>
        </w:rPr>
        <w:t>maestros</w:t>
      </w:r>
      <w:r>
        <w:rPr>
          <w:color w:val="06080D"/>
          <w:spacing w:val="-5"/>
        </w:rPr>
        <w:t> </w:t>
      </w:r>
      <w:r>
        <w:rPr>
          <w:color w:val="06080D"/>
        </w:rPr>
        <w:t>IECSE</w:t>
      </w:r>
      <w:r>
        <w:rPr>
          <w:color w:val="06080D"/>
          <w:spacing w:val="-5"/>
        </w:rPr>
        <w:t> </w:t>
      </w:r>
      <w:r>
        <w:rPr>
          <w:color w:val="06080D"/>
        </w:rPr>
        <w:t>tienen</w:t>
      </w:r>
      <w:r>
        <w:rPr>
          <w:color w:val="06080D"/>
          <w:spacing w:val="-6"/>
        </w:rPr>
        <w:t> </w:t>
      </w:r>
      <w:r>
        <w:rPr>
          <w:color w:val="06080D"/>
        </w:rPr>
        <w:t>tiempo</w:t>
      </w:r>
      <w:r>
        <w:rPr>
          <w:color w:val="06080D"/>
          <w:spacing w:val="-5"/>
        </w:rPr>
        <w:t> </w:t>
      </w:r>
      <w:r>
        <w:rPr>
          <w:color w:val="06080D"/>
        </w:rPr>
        <w:t>de planificación rutinario y programado fuera del salón de clases para: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66" w:lineRule="exact" w:before="0" w:after="0"/>
        <w:ind w:left="514" w:right="0" w:hanging="360"/>
        <w:jc w:val="left"/>
        <w:rPr>
          <w:rFonts w:ascii="Symbol" w:hAnsi="Symbol"/>
          <w:color w:val="06080D"/>
          <w:sz w:val="22"/>
        </w:rPr>
      </w:pPr>
      <w:r>
        <w:rPr>
          <w:color w:val="06080D"/>
          <w:sz w:val="22"/>
        </w:rPr>
        <w:t>Conversar</w:t>
      </w:r>
      <w:r>
        <w:rPr>
          <w:color w:val="06080D"/>
          <w:spacing w:val="-7"/>
          <w:sz w:val="22"/>
        </w:rPr>
        <w:t> </w:t>
      </w:r>
      <w:r>
        <w:rPr>
          <w:color w:val="06080D"/>
          <w:sz w:val="22"/>
        </w:rPr>
        <w:t>sobre</w:t>
      </w:r>
      <w:r>
        <w:rPr>
          <w:color w:val="06080D"/>
          <w:spacing w:val="-5"/>
          <w:sz w:val="22"/>
        </w:rPr>
        <w:t> </w:t>
      </w:r>
      <w:r>
        <w:rPr>
          <w:color w:val="06080D"/>
          <w:sz w:val="22"/>
        </w:rPr>
        <w:t>el</w:t>
      </w:r>
      <w:r>
        <w:rPr>
          <w:color w:val="06080D"/>
          <w:spacing w:val="-7"/>
          <w:sz w:val="22"/>
        </w:rPr>
        <w:t> </w:t>
      </w:r>
      <w:r>
        <w:rPr>
          <w:color w:val="06080D"/>
          <w:sz w:val="22"/>
        </w:rPr>
        <w:t>niño</w:t>
      </w:r>
      <w:r>
        <w:rPr>
          <w:color w:val="06080D"/>
          <w:spacing w:val="-5"/>
          <w:sz w:val="22"/>
        </w:rPr>
        <w:t> </w:t>
      </w:r>
      <w:r>
        <w:rPr>
          <w:color w:val="06080D"/>
          <w:sz w:val="22"/>
        </w:rPr>
        <w:t>y</w:t>
      </w:r>
      <w:r>
        <w:rPr>
          <w:color w:val="06080D"/>
          <w:spacing w:val="-7"/>
          <w:sz w:val="22"/>
        </w:rPr>
        <w:t> </w:t>
      </w:r>
      <w:r>
        <w:rPr>
          <w:color w:val="06080D"/>
          <w:sz w:val="22"/>
        </w:rPr>
        <w:t>sus</w:t>
      </w:r>
      <w:r>
        <w:rPr>
          <w:color w:val="06080D"/>
          <w:spacing w:val="-5"/>
          <w:sz w:val="22"/>
        </w:rPr>
        <w:t> </w:t>
      </w:r>
      <w:r>
        <w:rPr>
          <w:color w:val="06080D"/>
          <w:spacing w:val="-2"/>
          <w:sz w:val="22"/>
        </w:rPr>
        <w:t>necesidades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4" w:right="212" w:hanging="360"/>
        <w:jc w:val="left"/>
        <w:rPr>
          <w:rFonts w:ascii="Symbol" w:hAnsi="Symbol"/>
          <w:color w:val="06080D"/>
          <w:sz w:val="22"/>
        </w:rPr>
      </w:pPr>
      <w:r>
        <w:rPr>
          <w:color w:val="06080D"/>
          <w:sz w:val="22"/>
        </w:rPr>
        <w:t>Identificar</w:t>
      </w:r>
      <w:r>
        <w:rPr>
          <w:color w:val="06080D"/>
          <w:spacing w:val="-6"/>
          <w:sz w:val="22"/>
        </w:rPr>
        <w:t> </w:t>
      </w:r>
      <w:r>
        <w:rPr>
          <w:color w:val="06080D"/>
          <w:sz w:val="22"/>
        </w:rPr>
        <w:t>estrategias</w:t>
      </w:r>
      <w:r>
        <w:rPr>
          <w:color w:val="06080D"/>
          <w:spacing w:val="-6"/>
          <w:sz w:val="22"/>
        </w:rPr>
        <w:t> </w:t>
      </w:r>
      <w:r>
        <w:rPr>
          <w:color w:val="06080D"/>
          <w:sz w:val="22"/>
        </w:rPr>
        <w:t>para</w:t>
      </w:r>
      <w:r>
        <w:rPr>
          <w:color w:val="06080D"/>
          <w:spacing w:val="-6"/>
          <w:sz w:val="22"/>
        </w:rPr>
        <w:t> </w:t>
      </w:r>
      <w:r>
        <w:rPr>
          <w:color w:val="06080D"/>
          <w:sz w:val="22"/>
        </w:rPr>
        <w:t>apoyar</w:t>
      </w:r>
      <w:r>
        <w:rPr>
          <w:color w:val="06080D"/>
          <w:spacing w:val="-5"/>
          <w:sz w:val="22"/>
        </w:rPr>
        <w:t> </w:t>
      </w:r>
      <w:r>
        <w:rPr>
          <w:color w:val="06080D"/>
          <w:sz w:val="22"/>
        </w:rPr>
        <w:t>el</w:t>
      </w:r>
      <w:r>
        <w:rPr>
          <w:color w:val="06080D"/>
          <w:spacing w:val="-5"/>
          <w:sz w:val="22"/>
        </w:rPr>
        <w:t> </w:t>
      </w:r>
      <w:r>
        <w:rPr>
          <w:color w:val="06080D"/>
          <w:sz w:val="22"/>
        </w:rPr>
        <w:t>aprendizaje</w:t>
      </w:r>
      <w:r>
        <w:rPr>
          <w:color w:val="06080D"/>
          <w:spacing w:val="-5"/>
          <w:sz w:val="22"/>
        </w:rPr>
        <w:t> </w:t>
      </w:r>
      <w:r>
        <w:rPr>
          <w:color w:val="06080D"/>
          <w:sz w:val="22"/>
        </w:rPr>
        <w:t>y</w:t>
      </w:r>
      <w:r>
        <w:rPr>
          <w:color w:val="06080D"/>
          <w:spacing w:val="-6"/>
          <w:sz w:val="22"/>
        </w:rPr>
        <w:t> </w:t>
      </w:r>
      <w:r>
        <w:rPr>
          <w:color w:val="06080D"/>
          <w:sz w:val="22"/>
        </w:rPr>
        <w:t>la participación del niño en el salón de clases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4" w:right="0" w:hanging="360"/>
        <w:jc w:val="left"/>
        <w:rPr>
          <w:rFonts w:ascii="Symbol" w:hAnsi="Symbol"/>
          <w:color w:val="06080D"/>
          <w:sz w:val="22"/>
        </w:rPr>
      </w:pPr>
      <w:r>
        <w:rPr>
          <w:color w:val="06080D"/>
          <w:sz w:val="22"/>
        </w:rPr>
        <w:t>Hacer</w:t>
      </w:r>
      <w:r>
        <w:rPr>
          <w:color w:val="06080D"/>
          <w:spacing w:val="-9"/>
          <w:sz w:val="22"/>
        </w:rPr>
        <w:t> </w:t>
      </w:r>
      <w:r>
        <w:rPr>
          <w:color w:val="06080D"/>
          <w:sz w:val="22"/>
        </w:rPr>
        <w:t>y</w:t>
      </w:r>
      <w:r>
        <w:rPr>
          <w:color w:val="06080D"/>
          <w:spacing w:val="-8"/>
          <w:sz w:val="22"/>
        </w:rPr>
        <w:t> </w:t>
      </w:r>
      <w:r>
        <w:rPr>
          <w:color w:val="06080D"/>
          <w:sz w:val="22"/>
        </w:rPr>
        <w:t>responder</w:t>
      </w:r>
      <w:r>
        <w:rPr>
          <w:color w:val="06080D"/>
          <w:spacing w:val="-8"/>
          <w:sz w:val="22"/>
        </w:rPr>
        <w:t> </w:t>
      </w:r>
      <w:r>
        <w:rPr>
          <w:color w:val="06080D"/>
          <w:spacing w:val="-2"/>
          <w:sz w:val="22"/>
        </w:rPr>
        <w:t>preguntas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4" w:right="0" w:hanging="360"/>
        <w:jc w:val="left"/>
        <w:rPr>
          <w:rFonts w:ascii="Symbol" w:hAnsi="Symbol"/>
          <w:color w:val="06080D"/>
          <w:sz w:val="22"/>
        </w:rPr>
      </w:pPr>
      <w:r>
        <w:rPr>
          <w:color w:val="06080D"/>
          <w:sz w:val="22"/>
        </w:rPr>
        <w:t>Abordar</w:t>
      </w:r>
      <w:r>
        <w:rPr>
          <w:color w:val="06080D"/>
          <w:spacing w:val="-11"/>
          <w:sz w:val="22"/>
        </w:rPr>
        <w:t> </w:t>
      </w:r>
      <w:r>
        <w:rPr>
          <w:color w:val="06080D"/>
          <w:sz w:val="22"/>
        </w:rPr>
        <w:t>cualquier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desafío</w:t>
      </w:r>
      <w:r>
        <w:rPr>
          <w:color w:val="06080D"/>
          <w:spacing w:val="-9"/>
          <w:sz w:val="22"/>
        </w:rPr>
        <w:t> </w:t>
      </w:r>
      <w:r>
        <w:rPr>
          <w:color w:val="06080D"/>
          <w:sz w:val="22"/>
        </w:rPr>
        <w:t>que</w:t>
      </w:r>
      <w:r>
        <w:rPr>
          <w:color w:val="06080D"/>
          <w:spacing w:val="-9"/>
          <w:sz w:val="22"/>
        </w:rPr>
        <w:t> </w:t>
      </w:r>
      <w:r>
        <w:rPr>
          <w:color w:val="06080D"/>
          <w:spacing w:val="-2"/>
          <w:sz w:val="22"/>
        </w:rPr>
        <w:t>surja</w:t>
      </w:r>
    </w:p>
    <w:p>
      <w:pPr>
        <w:pStyle w:val="BodyText"/>
        <w:spacing w:line="285" w:lineRule="auto" w:before="144"/>
        <w:ind w:left="154"/>
      </w:pPr>
      <w:r>
        <w:rPr>
          <w:color w:val="06080D"/>
        </w:rPr>
        <w:t>Cuando maestros colaboran, su asociación permite que el estudiante</w:t>
      </w:r>
      <w:r>
        <w:rPr>
          <w:color w:val="06080D"/>
          <w:spacing w:val="-6"/>
        </w:rPr>
        <w:t> </w:t>
      </w:r>
      <w:r>
        <w:rPr>
          <w:color w:val="06080D"/>
        </w:rPr>
        <w:t>participe</w:t>
      </w:r>
      <w:r>
        <w:rPr>
          <w:color w:val="06080D"/>
          <w:spacing w:val="-6"/>
        </w:rPr>
        <w:t> </w:t>
      </w:r>
      <w:r>
        <w:rPr>
          <w:color w:val="06080D"/>
        </w:rPr>
        <w:t>plenamente,</w:t>
      </w:r>
      <w:r>
        <w:rPr>
          <w:color w:val="06080D"/>
          <w:spacing w:val="-6"/>
        </w:rPr>
        <w:t> </w:t>
      </w:r>
      <w:r>
        <w:rPr>
          <w:color w:val="06080D"/>
        </w:rPr>
        <w:t>aprenda</w:t>
      </w:r>
      <w:r>
        <w:rPr>
          <w:color w:val="06080D"/>
          <w:spacing w:val="-7"/>
        </w:rPr>
        <w:t> </w:t>
      </w:r>
      <w:r>
        <w:rPr>
          <w:color w:val="06080D"/>
        </w:rPr>
        <w:t>y</w:t>
      </w:r>
      <w:r>
        <w:rPr>
          <w:color w:val="06080D"/>
          <w:spacing w:val="-7"/>
        </w:rPr>
        <w:t> </w:t>
      </w:r>
      <w:r>
        <w:rPr>
          <w:color w:val="06080D"/>
        </w:rPr>
        <w:t>se</w:t>
      </w:r>
      <w:r>
        <w:rPr>
          <w:color w:val="06080D"/>
          <w:spacing w:val="-5"/>
        </w:rPr>
        <w:t> </w:t>
      </w:r>
      <w:r>
        <w:rPr>
          <w:color w:val="06080D"/>
        </w:rPr>
        <w:t>sienta</w:t>
      </w:r>
      <w:r>
        <w:rPr>
          <w:color w:val="06080D"/>
          <w:spacing w:val="-7"/>
        </w:rPr>
        <w:t> </w:t>
      </w:r>
      <w:r>
        <w:rPr>
          <w:color w:val="06080D"/>
        </w:rPr>
        <w:t>parte del grupo.</w:t>
      </w:r>
    </w:p>
    <w:p>
      <w:pPr>
        <w:pStyle w:val="Heading2"/>
        <w:spacing w:line="288" w:lineRule="auto" w:before="101"/>
        <w:ind w:left="201" w:right="265"/>
      </w:pPr>
      <w:r>
        <w:rPr>
          <w:b w:val="0"/>
        </w:rPr>
        <w:br w:type="column"/>
      </w:r>
      <w:r>
        <w:rPr>
          <w:color w:val="2C5593"/>
        </w:rPr>
        <w:t>Incluyendo a niños de edad preescolar con atrasos de desarrollo</w:t>
      </w:r>
      <w:r>
        <w:rPr>
          <w:color w:val="2C5593"/>
          <w:spacing w:val="-19"/>
        </w:rPr>
        <w:t> </w:t>
      </w:r>
      <w:r>
        <w:rPr>
          <w:color w:val="2C5593"/>
        </w:rPr>
        <w:t>o</w:t>
      </w:r>
      <w:r>
        <w:rPr>
          <w:color w:val="2C5593"/>
          <w:spacing w:val="-16"/>
        </w:rPr>
        <w:t> </w:t>
      </w:r>
      <w:r>
        <w:rPr>
          <w:color w:val="2C5593"/>
        </w:rPr>
        <w:t>discapacidades en clases de educación </w:t>
      </w:r>
      <w:r>
        <w:rPr>
          <w:color w:val="2C5593"/>
          <w:spacing w:val="-2"/>
        </w:rPr>
        <w:t>infantil: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80" w:lineRule="auto" w:before="3" w:after="0"/>
        <w:ind w:left="334" w:right="314" w:hanging="181"/>
        <w:jc w:val="left"/>
        <w:rPr>
          <w:rFonts w:ascii="Symbol" w:hAnsi="Symbol"/>
          <w:sz w:val="22"/>
        </w:rPr>
      </w:pPr>
      <w:r>
        <w:rPr>
          <w:color w:val="06080D"/>
          <w:sz w:val="22"/>
        </w:rPr>
        <w:t>Ofrece</w:t>
      </w:r>
      <w:r>
        <w:rPr>
          <w:color w:val="06080D"/>
          <w:spacing w:val="-13"/>
          <w:sz w:val="22"/>
        </w:rPr>
        <w:t> </w:t>
      </w:r>
      <w:r>
        <w:rPr>
          <w:color w:val="06080D"/>
          <w:sz w:val="22"/>
        </w:rPr>
        <w:t>oportunidades</w:t>
      </w:r>
      <w:r>
        <w:rPr>
          <w:color w:val="06080D"/>
          <w:spacing w:val="-13"/>
          <w:sz w:val="22"/>
        </w:rPr>
        <w:t> </w:t>
      </w:r>
      <w:r>
        <w:rPr>
          <w:color w:val="06080D"/>
          <w:sz w:val="22"/>
        </w:rPr>
        <w:t>para</w:t>
      </w:r>
      <w:r>
        <w:rPr>
          <w:color w:val="06080D"/>
          <w:spacing w:val="-14"/>
          <w:sz w:val="22"/>
        </w:rPr>
        <w:t> </w:t>
      </w:r>
      <w:r>
        <w:rPr>
          <w:color w:val="06080D"/>
          <w:sz w:val="22"/>
        </w:rPr>
        <w:t>aprender de compañeros de la misma edad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83" w:lineRule="auto" w:before="5" w:after="0"/>
        <w:ind w:left="334" w:right="1024" w:hanging="181"/>
        <w:jc w:val="left"/>
        <w:rPr>
          <w:rFonts w:ascii="Symbol" w:hAnsi="Symbol"/>
          <w:sz w:val="22"/>
        </w:rPr>
      </w:pPr>
      <w:r>
        <w:rPr>
          <w:color w:val="06080D"/>
          <w:sz w:val="22"/>
        </w:rPr>
        <w:t>Proporciona múltiples oportunidades</w:t>
      </w:r>
      <w:r>
        <w:rPr>
          <w:color w:val="06080D"/>
          <w:spacing w:val="-14"/>
          <w:sz w:val="22"/>
        </w:rPr>
        <w:t> </w:t>
      </w:r>
      <w:r>
        <w:rPr>
          <w:color w:val="06080D"/>
          <w:sz w:val="22"/>
        </w:rPr>
        <w:t>para</w:t>
      </w:r>
      <w:r>
        <w:rPr>
          <w:color w:val="06080D"/>
          <w:spacing w:val="-13"/>
          <w:sz w:val="22"/>
        </w:rPr>
        <w:t> </w:t>
      </w:r>
      <w:r>
        <w:rPr>
          <w:color w:val="06080D"/>
          <w:sz w:val="22"/>
        </w:rPr>
        <w:t>practicar habilidades a lo largo del día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83" w:lineRule="auto" w:before="3" w:after="0"/>
        <w:ind w:left="334" w:right="495" w:hanging="181"/>
        <w:jc w:val="left"/>
        <w:rPr>
          <w:rFonts w:ascii="Symbol" w:hAnsi="Symbol"/>
          <w:sz w:val="22"/>
        </w:rPr>
      </w:pPr>
      <w:r>
        <w:rPr>
          <w:color w:val="06080D"/>
          <w:sz w:val="22"/>
        </w:rPr>
        <w:t>Conduce a un mayor desarrollo cognitivo y de comunicación que servicios en salones de clases de educación</w:t>
      </w:r>
      <w:r>
        <w:rPr>
          <w:color w:val="06080D"/>
          <w:spacing w:val="-14"/>
          <w:sz w:val="22"/>
        </w:rPr>
        <w:t> </w:t>
      </w:r>
      <w:r>
        <w:rPr>
          <w:color w:val="06080D"/>
          <w:sz w:val="22"/>
        </w:rPr>
        <w:t>especial</w:t>
      </w:r>
      <w:r>
        <w:rPr>
          <w:color w:val="06080D"/>
          <w:spacing w:val="-13"/>
          <w:sz w:val="22"/>
        </w:rPr>
        <w:t> </w:t>
      </w:r>
      <w:r>
        <w:rPr>
          <w:color w:val="06080D"/>
          <w:sz w:val="22"/>
        </w:rPr>
        <w:t>independientes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83" w:lineRule="auto" w:before="3" w:after="0"/>
        <w:ind w:left="334" w:right="366" w:hanging="181"/>
        <w:jc w:val="left"/>
        <w:rPr>
          <w:rFonts w:ascii="Symbol" w:hAnsi="Symbol"/>
          <w:sz w:val="22"/>
        </w:rPr>
      </w:pPr>
      <w:r>
        <w:rPr>
          <w:color w:val="06080D"/>
          <w:sz w:val="22"/>
        </w:rPr>
        <w:t>Resulta en niños con mayor competencia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social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y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más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amistades que en salones de clases </w:t>
      </w:r>
      <w:r>
        <w:rPr>
          <w:color w:val="06080D"/>
          <w:spacing w:val="-2"/>
          <w:sz w:val="22"/>
        </w:rPr>
        <w:t>independientes</w:t>
      </w:r>
    </w:p>
    <w:p>
      <w:pPr>
        <w:pStyle w:val="ListParagraph"/>
        <w:numPr>
          <w:ilvl w:val="0"/>
          <w:numId w:val="1"/>
        </w:numPr>
        <w:tabs>
          <w:tab w:pos="334" w:val="left" w:leader="none"/>
        </w:tabs>
        <w:spacing w:line="280" w:lineRule="auto" w:before="5" w:after="0"/>
        <w:ind w:left="334" w:right="528" w:hanging="181"/>
        <w:jc w:val="left"/>
        <w:rPr>
          <w:rFonts w:ascii="Symbol" w:hAnsi="Symbol"/>
          <w:sz w:val="22"/>
        </w:rPr>
      </w:pPr>
      <w:r>
        <w:rPr>
          <w:color w:val="06080D"/>
          <w:sz w:val="22"/>
        </w:rPr>
        <w:t>Reduce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al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mínimo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las</w:t>
      </w:r>
      <w:r>
        <w:rPr>
          <w:color w:val="06080D"/>
          <w:spacing w:val="-10"/>
          <w:sz w:val="22"/>
        </w:rPr>
        <w:t> </w:t>
      </w:r>
      <w:r>
        <w:rPr>
          <w:color w:val="06080D"/>
          <w:sz w:val="22"/>
        </w:rPr>
        <w:t>transiciones entre programas</w:t>
      </w:r>
    </w:p>
    <w:sectPr>
      <w:type w:val="continuous"/>
      <w:pgSz w:w="12240" w:h="15840"/>
      <w:pgMar w:top="560" w:bottom="0" w:left="1080" w:right="720"/>
      <w:cols w:num="2" w:equalWidth="0">
        <w:col w:w="5855" w:space="400"/>
        <w:col w:w="41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514" w:hanging="360"/>
      </w:pPr>
      <w:rPr>
        <w:rFonts w:hint="default" w:ascii="Symbol" w:hAnsi="Symbol" w:eastAsia="Symbol" w:cs="Symbol"/>
        <w:spacing w:val="0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53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2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6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8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2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87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"/>
      <w:outlineLvl w:val="1"/>
    </w:pPr>
    <w:rPr>
      <w:rFonts w:ascii="Georgia" w:hAnsi="Georgia" w:eastAsia="Georgia" w:cs="Georgia"/>
      <w:b/>
      <w:bCs/>
      <w:sz w:val="42"/>
      <w:szCs w:val="4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54"/>
      <w:outlineLvl w:val="2"/>
    </w:pPr>
    <w:rPr>
      <w:rFonts w:ascii="Georgia" w:hAnsi="Georgia" w:eastAsia="Georgia" w:cs="Georgia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34" w:hanging="181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Virginia Commonwealth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Jaye Harvey</dc:creator>
  <cp:keywords>DAFvpp4EdQg,BACUSbZLXLM</cp:keywords>
  <dc:title>Blue Modern Company Newsletter</dc:title>
  <dcterms:created xsi:type="dcterms:W3CDTF">2026-10-07T21:31:12Z</dcterms:created>
  <dcterms:modified xsi:type="dcterms:W3CDTF">2026-10-07T21:31:12Z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0x01010080939A2663FDD0438B8297469091EBD4</vt:lpwstr>
  </property>
  <property fmtid="{D5CDD505-2E9C-101B-9397-08002B2CF9AE}" pid="3" name="Created">
    <vt:filetime>2025-08-12T00:00:00Z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1a08d0f0402f5832225f5c66241270fc4e8e55cefb190c96d16b0d33d5b023b0</vt:lpwstr>
  </property>
  <property fmtid="{D5CDD505-2E9C-101B-9397-08002B2CF9AE}" pid="6" name="LastSaved">
    <vt:filetime>2026-10-07T00:00:00Z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25.1.143</vt:lpwstr>
  </property>
  <property fmtid="{D5CDD505-2E9C-101B-9397-08002B2CF9AE}" pid="9" name="SourceModified">
    <vt:lpwstr>D:20250811173643</vt:lpwstr>
  </property>
</Properties>
</file>