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7"/>
        <w:ind w:left="27" w:right="0" w:firstLine="0"/>
        <w:jc w:val="left"/>
        <w:rPr>
          <w:b/>
          <w:sz w:val="28"/>
        </w:rPr>
      </w:pPr>
      <w:r>
        <w:rPr>
          <w:b/>
          <w:color w:val="2C5593"/>
          <w:sz w:val="28"/>
        </w:rPr>
        <w:t>Early</w:t>
      </w:r>
      <w:r>
        <w:rPr>
          <w:b/>
          <w:color w:val="2C5593"/>
          <w:spacing w:val="-13"/>
          <w:sz w:val="28"/>
        </w:rPr>
        <w:t> </w:t>
      </w:r>
      <w:r>
        <w:rPr>
          <w:b/>
          <w:color w:val="2C5593"/>
          <w:sz w:val="28"/>
        </w:rPr>
        <w:t>Childhood</w:t>
      </w:r>
      <w:r>
        <w:rPr>
          <w:b/>
          <w:color w:val="2C5593"/>
          <w:spacing w:val="-12"/>
          <w:sz w:val="28"/>
        </w:rPr>
        <w:t> </w:t>
      </w:r>
      <w:r>
        <w:rPr>
          <w:b/>
          <w:color w:val="2C5593"/>
          <w:sz w:val="28"/>
        </w:rPr>
        <w:t>Educators</w:t>
      </w:r>
      <w:r>
        <w:rPr>
          <w:b/>
          <w:color w:val="2C5593"/>
          <w:spacing w:val="-13"/>
          <w:sz w:val="28"/>
        </w:rPr>
        <w:t> </w:t>
      </w:r>
      <w:r>
        <w:rPr>
          <w:b/>
          <w:color w:val="2C5593"/>
          <w:sz w:val="28"/>
        </w:rPr>
        <w:t>Partnering</w:t>
      </w:r>
      <w:r>
        <w:rPr>
          <w:b/>
          <w:color w:val="2C5593"/>
          <w:spacing w:val="-17"/>
          <w:sz w:val="28"/>
        </w:rPr>
        <w:t> </w:t>
      </w:r>
      <w:r>
        <w:rPr>
          <w:b/>
          <w:color w:val="2C5593"/>
          <w:sz w:val="28"/>
        </w:rPr>
        <w:t>to</w:t>
      </w:r>
      <w:r>
        <w:rPr>
          <w:b/>
          <w:color w:val="2C5593"/>
          <w:spacing w:val="-16"/>
          <w:sz w:val="28"/>
        </w:rPr>
        <w:t> </w:t>
      </w:r>
      <w:r>
        <w:rPr>
          <w:b/>
          <w:color w:val="2C5593"/>
          <w:sz w:val="28"/>
        </w:rPr>
        <w:t>Meet</w:t>
      </w:r>
      <w:r>
        <w:rPr>
          <w:b/>
          <w:color w:val="2C5593"/>
          <w:spacing w:val="-15"/>
          <w:sz w:val="28"/>
        </w:rPr>
        <w:t> </w:t>
      </w:r>
      <w:r>
        <w:rPr>
          <w:b/>
          <w:color w:val="2C5593"/>
          <w:sz w:val="28"/>
        </w:rPr>
        <w:t>a</w:t>
      </w:r>
      <w:r>
        <w:rPr>
          <w:b/>
          <w:color w:val="2C5593"/>
          <w:spacing w:val="-16"/>
          <w:sz w:val="28"/>
        </w:rPr>
        <w:t> </w:t>
      </w:r>
      <w:r>
        <w:rPr>
          <w:b/>
          <w:color w:val="2C5593"/>
          <w:sz w:val="28"/>
        </w:rPr>
        <w:t>Child’s</w:t>
      </w:r>
      <w:r>
        <w:rPr>
          <w:b/>
          <w:color w:val="2C5593"/>
          <w:spacing w:val="-14"/>
          <w:sz w:val="28"/>
        </w:rPr>
        <w:t> </w:t>
      </w:r>
      <w:r>
        <w:rPr>
          <w:b/>
          <w:color w:val="2C5593"/>
          <w:sz w:val="28"/>
        </w:rPr>
        <w:t>Special</w:t>
      </w:r>
      <w:r>
        <w:rPr>
          <w:b/>
          <w:color w:val="2C5593"/>
          <w:spacing w:val="-15"/>
          <w:sz w:val="28"/>
        </w:rPr>
        <w:t> </w:t>
      </w:r>
      <w:r>
        <w:rPr>
          <w:b/>
          <w:color w:val="2C5593"/>
          <w:spacing w:val="-2"/>
          <w:sz w:val="28"/>
        </w:rPr>
        <w:t>Needs</w:t>
      </w:r>
    </w:p>
    <w:p>
      <w:pPr>
        <w:pStyle w:val="Heading1"/>
        <w:spacing w:line="290" w:lineRule="auto"/>
      </w:pPr>
      <w:r>
        <w:rPr/>
        <w:drawing>
          <wp:anchor distT="0" distB="0" distL="0" distR="0" allowOverlap="1" layoutInCell="1" locked="0" behindDoc="0" simplePos="0" relativeHeight="15729152">
            <wp:simplePos x="0" y="0"/>
            <wp:positionH relativeFrom="page">
              <wp:posOffset>5570854</wp:posOffset>
            </wp:positionH>
            <wp:positionV relativeFrom="paragraph">
              <wp:posOffset>117383</wp:posOffset>
            </wp:positionV>
            <wp:extent cx="1449703" cy="897877"/>
            <wp:effectExtent l="0" t="0" r="0" b="0"/>
            <wp:wrapNone/>
            <wp:docPr id="1" name="Image 1" descr="P2#y1"/>
            <wp:cNvGraphicFramePr>
              <a:graphicFrameLocks/>
            </wp:cNvGraphicFramePr>
            <a:graphic>
              <a:graphicData uri="http://schemas.openxmlformats.org/drawingml/2006/picture">
                <pic:pic>
                  <pic:nvPicPr>
                    <pic:cNvPr id="1" name="Image 1" descr="P2#y1"/>
                    <pic:cNvPicPr/>
                  </pic:nvPicPr>
                  <pic:blipFill>
                    <a:blip r:embed="rId5" cstate="print"/>
                    <a:stretch>
                      <a:fillRect/>
                    </a:stretch>
                  </pic:blipFill>
                  <pic:spPr>
                    <a:xfrm>
                      <a:off x="0" y="0"/>
                      <a:ext cx="1449703" cy="897877"/>
                    </a:xfrm>
                    <a:prstGeom prst="rect">
                      <a:avLst/>
                    </a:prstGeom>
                  </pic:spPr>
                </pic:pic>
              </a:graphicData>
            </a:graphic>
          </wp:anchor>
        </w:drawing>
      </w:r>
      <w:r>
        <w:rPr>
          <w:color w:val="004080"/>
        </w:rPr>
        <w:t>Itinerant Early Childhood Special</w:t>
      </w:r>
      <w:r>
        <w:rPr>
          <w:color w:val="004080"/>
          <w:spacing w:val="-33"/>
        </w:rPr>
        <w:t> </w:t>
      </w:r>
      <w:r>
        <w:rPr>
          <w:color w:val="004080"/>
        </w:rPr>
        <w:t>Education</w:t>
      </w:r>
      <w:r>
        <w:rPr>
          <w:color w:val="004080"/>
          <w:spacing w:val="-34"/>
        </w:rPr>
        <w:t> </w:t>
      </w:r>
      <w:r>
        <w:rPr>
          <w:color w:val="004080"/>
        </w:rPr>
        <w:t>Services</w:t>
      </w:r>
    </w:p>
    <w:p>
      <w:pPr>
        <w:pStyle w:val="BodyText"/>
        <w:spacing w:before="7"/>
        <w:rPr>
          <w:b/>
          <w:sz w:val="13"/>
        </w:rPr>
      </w:pPr>
      <w:r>
        <w:rPr>
          <w:b/>
          <w:sz w:val="13"/>
        </w:rPr>
        <mc:AlternateContent>
          <mc:Choice Requires="wps">
            <w:drawing>
              <wp:anchor distT="0" distB="0" distL="0" distR="0" allowOverlap="1" layoutInCell="1" locked="0" behindDoc="1" simplePos="0" relativeHeight="487587840">
                <wp:simplePos x="0" y="0"/>
                <wp:positionH relativeFrom="page">
                  <wp:posOffset>798828</wp:posOffset>
                </wp:positionH>
                <wp:positionV relativeFrom="paragraph">
                  <wp:posOffset>113592</wp:posOffset>
                </wp:positionV>
                <wp:extent cx="622046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6220460" cy="1270"/>
                        </a:xfrm>
                        <a:custGeom>
                          <a:avLst/>
                          <a:gdLst/>
                          <a:ahLst/>
                          <a:cxnLst/>
                          <a:rect l="l" t="t" r="r" b="b"/>
                          <a:pathLst>
                            <a:path w="6220460" h="0">
                              <a:moveTo>
                                <a:pt x="0" y="0"/>
                              </a:moveTo>
                              <a:lnTo>
                                <a:pt x="6219863" y="0"/>
                              </a:lnTo>
                            </a:path>
                          </a:pathLst>
                        </a:custGeom>
                        <a:ln w="28575">
                          <a:solidFill>
                            <a:srgbClr val="2E5D9E"/>
                          </a:solidFill>
                          <a:prstDash val="solid"/>
                        </a:ln>
                      </wps:spPr>
                      <wps:bodyPr wrap="square" lIns="0" tIns="0" rIns="0" bIns="0" rtlCol="0">
                        <a:prstTxWarp prst="textNoShape">
                          <a:avLst/>
                        </a:prstTxWarp>
                        <a:noAutofit/>
                      </wps:bodyPr>
                    </wps:wsp>
                  </a:graphicData>
                </a:graphic>
              </wp:anchor>
            </w:drawing>
          </mc:Choice>
          <mc:Fallback>
            <w:pict>
              <v:shape style="position:absolute;margin-left:62.899899pt;margin-top:8.944252pt;width:489.8pt;height:.1pt;mso-position-horizontal-relative:page;mso-position-vertical-relative:paragraph;z-index:-15728640;mso-wrap-distance-left:0;mso-wrap-distance-right:0" id="docshape1" coordorigin="1258,179" coordsize="9796,0" path="m1258,179l11053,179e" filled="false" stroked="true" strokeweight="2.25pt" strokecolor="#2e5d9e">
                <v:path arrowok="t"/>
                <v:stroke dashstyle="solid"/>
                <w10:wrap type="topAndBottom"/>
              </v:shape>
            </w:pict>
          </mc:Fallback>
        </mc:AlternateContent>
      </w:r>
    </w:p>
    <w:p>
      <w:pPr>
        <w:spacing w:line="285" w:lineRule="auto" w:before="237"/>
        <w:ind w:left="154" w:right="119" w:firstLine="0"/>
        <w:jc w:val="left"/>
        <w:rPr>
          <w:i/>
          <w:sz w:val="22"/>
        </w:rPr>
      </w:pPr>
      <w:r>
        <w:rPr>
          <w:i/>
          <w:sz w:val="22"/>
        </w:rPr>
        <w:t>Local school divisions provide special education services for young children, ages two to five, who</w:t>
      </w:r>
      <w:r>
        <w:rPr>
          <w:i/>
          <w:sz w:val="22"/>
        </w:rPr>
        <w:t> have developmental delays or disabilities.</w:t>
      </w:r>
      <w:r>
        <w:rPr>
          <w:i/>
          <w:spacing w:val="40"/>
          <w:sz w:val="22"/>
        </w:rPr>
        <w:t> </w:t>
      </w:r>
      <w:r>
        <w:rPr>
          <w:i/>
          <w:sz w:val="22"/>
        </w:rPr>
        <w:t>Depending on the learning needs of the child, these services may be provided in early childhood care and education (ECCE) settings such as Virginia Preschool Initiative, Head Start, Mixed Delivery, child care, and community-based preschool programs. When special education services are provided in ECCE settings, </w:t>
      </w:r>
      <w:r>
        <w:rPr>
          <w:b/>
          <w:i/>
          <w:sz w:val="22"/>
        </w:rPr>
        <w:t>Itinerant Early</w:t>
      </w:r>
      <w:r>
        <w:rPr>
          <w:b/>
          <w:i/>
          <w:sz w:val="22"/>
        </w:rPr>
        <w:t> Childhood Special Education (IECSE) </w:t>
      </w:r>
      <w:r>
        <w:rPr>
          <w:i/>
          <w:sz w:val="22"/>
        </w:rPr>
        <w:t>teachers from the school division travel to the</w:t>
      </w:r>
      <w:r>
        <w:rPr>
          <w:i/>
          <w:sz w:val="22"/>
        </w:rPr>
        <w:t> classroom</w:t>
      </w:r>
      <w:r>
        <w:rPr>
          <w:i/>
          <w:spacing w:val="-3"/>
          <w:sz w:val="22"/>
        </w:rPr>
        <w:t> </w:t>
      </w:r>
      <w:r>
        <w:rPr>
          <w:i/>
          <w:sz w:val="22"/>
        </w:rPr>
        <w:t>to</w:t>
      </w:r>
      <w:r>
        <w:rPr>
          <w:i/>
          <w:spacing w:val="-4"/>
          <w:sz w:val="22"/>
        </w:rPr>
        <w:t> </w:t>
      </w:r>
      <w:r>
        <w:rPr>
          <w:i/>
          <w:sz w:val="22"/>
        </w:rPr>
        <w:t>implement</w:t>
      </w:r>
      <w:r>
        <w:rPr>
          <w:i/>
          <w:spacing w:val="-2"/>
          <w:sz w:val="22"/>
        </w:rPr>
        <w:t> </w:t>
      </w:r>
      <w:r>
        <w:rPr>
          <w:i/>
          <w:sz w:val="22"/>
        </w:rPr>
        <w:t>the</w:t>
      </w:r>
      <w:r>
        <w:rPr>
          <w:i/>
          <w:spacing w:val="-4"/>
          <w:sz w:val="22"/>
        </w:rPr>
        <w:t> </w:t>
      </w:r>
      <w:r>
        <w:rPr>
          <w:i/>
          <w:sz w:val="22"/>
        </w:rPr>
        <w:t>child’s</w:t>
      </w:r>
      <w:r>
        <w:rPr>
          <w:i/>
          <w:spacing w:val="-2"/>
          <w:sz w:val="22"/>
        </w:rPr>
        <w:t> </w:t>
      </w:r>
      <w:r>
        <w:rPr>
          <w:i/>
          <w:sz w:val="22"/>
        </w:rPr>
        <w:t>Individualized</w:t>
      </w:r>
      <w:r>
        <w:rPr>
          <w:i/>
          <w:spacing w:val="-4"/>
          <w:sz w:val="22"/>
        </w:rPr>
        <w:t> </w:t>
      </w:r>
      <w:r>
        <w:rPr>
          <w:i/>
          <w:sz w:val="22"/>
        </w:rPr>
        <w:t>Education</w:t>
      </w:r>
      <w:r>
        <w:rPr>
          <w:i/>
          <w:spacing w:val="-3"/>
          <w:sz w:val="22"/>
        </w:rPr>
        <w:t> </w:t>
      </w:r>
      <w:r>
        <w:rPr>
          <w:i/>
          <w:sz w:val="22"/>
        </w:rPr>
        <w:t>Program</w:t>
      </w:r>
      <w:r>
        <w:rPr>
          <w:i/>
          <w:spacing w:val="-4"/>
          <w:sz w:val="22"/>
        </w:rPr>
        <w:t> </w:t>
      </w:r>
      <w:r>
        <w:rPr>
          <w:i/>
          <w:sz w:val="22"/>
        </w:rPr>
        <w:t>(IEP).</w:t>
      </w:r>
      <w:r>
        <w:rPr>
          <w:i/>
          <w:spacing w:val="-4"/>
          <w:sz w:val="22"/>
        </w:rPr>
        <w:t> </w:t>
      </w:r>
      <w:r>
        <w:rPr>
          <w:i/>
          <w:sz w:val="22"/>
        </w:rPr>
        <w:t>They</w:t>
      </w:r>
      <w:r>
        <w:rPr>
          <w:i/>
          <w:spacing w:val="-4"/>
          <w:sz w:val="22"/>
        </w:rPr>
        <w:t> </w:t>
      </w:r>
      <w:r>
        <w:rPr>
          <w:i/>
          <w:sz w:val="22"/>
        </w:rPr>
        <w:t>partner</w:t>
      </w:r>
      <w:r>
        <w:rPr>
          <w:i/>
          <w:spacing w:val="-3"/>
          <w:sz w:val="22"/>
        </w:rPr>
        <w:t> </w:t>
      </w:r>
      <w:r>
        <w:rPr>
          <w:i/>
          <w:sz w:val="22"/>
        </w:rPr>
        <w:t>with</w:t>
      </w:r>
      <w:r>
        <w:rPr>
          <w:i/>
          <w:spacing w:val="-2"/>
          <w:sz w:val="22"/>
        </w:rPr>
        <w:t> </w:t>
      </w:r>
      <w:r>
        <w:rPr>
          <w:i/>
          <w:sz w:val="22"/>
        </w:rPr>
        <w:t>the child’s classroom teacher to identify and implement strategies to support the child’s learning and participation with nondisabled peers.</w:t>
      </w:r>
    </w:p>
    <w:p>
      <w:pPr>
        <w:pStyle w:val="BodyText"/>
        <w:spacing w:line="285" w:lineRule="auto" w:before="145"/>
        <w:ind w:left="158" w:right="64"/>
      </w:pPr>
      <w:r>
        <w:rPr/>
        <w:t>The teachers collaborate on ways to embed the child’s IEP goals into the daily routine and activities. The</w:t>
      </w:r>
      <w:r>
        <w:rPr>
          <w:spacing w:val="-2"/>
        </w:rPr>
        <w:t> </w:t>
      </w:r>
      <w:r>
        <w:rPr/>
        <w:t>IECSE</w:t>
      </w:r>
      <w:r>
        <w:rPr>
          <w:spacing w:val="-2"/>
        </w:rPr>
        <w:t> </w:t>
      </w:r>
      <w:r>
        <w:rPr/>
        <w:t>teacher</w:t>
      </w:r>
      <w:r>
        <w:rPr>
          <w:spacing w:val="-2"/>
        </w:rPr>
        <w:t> </w:t>
      </w:r>
      <w:r>
        <w:rPr/>
        <w:t>helps</w:t>
      </w:r>
      <w:r>
        <w:rPr>
          <w:spacing w:val="-3"/>
        </w:rPr>
        <w:t> </w:t>
      </w:r>
      <w:r>
        <w:rPr/>
        <w:t>the</w:t>
      </w:r>
      <w:r>
        <w:rPr>
          <w:spacing w:val="-2"/>
        </w:rPr>
        <w:t> </w:t>
      </w:r>
      <w:r>
        <w:rPr/>
        <w:t>classroom</w:t>
      </w:r>
      <w:r>
        <w:rPr>
          <w:spacing w:val="-3"/>
        </w:rPr>
        <w:t> </w:t>
      </w:r>
      <w:r>
        <w:rPr/>
        <w:t>teacher</w:t>
      </w:r>
      <w:r>
        <w:rPr>
          <w:spacing w:val="-3"/>
        </w:rPr>
        <w:t> </w:t>
      </w:r>
      <w:r>
        <w:rPr/>
        <w:t>develop</w:t>
      </w:r>
      <w:r>
        <w:rPr>
          <w:spacing w:val="-2"/>
        </w:rPr>
        <w:t> </w:t>
      </w:r>
      <w:r>
        <w:rPr/>
        <w:t>any</w:t>
      </w:r>
      <w:r>
        <w:rPr>
          <w:spacing w:val="-3"/>
        </w:rPr>
        <w:t> </w:t>
      </w:r>
      <w:r>
        <w:rPr/>
        <w:t>new</w:t>
      </w:r>
      <w:r>
        <w:rPr>
          <w:spacing w:val="-3"/>
        </w:rPr>
        <w:t> </w:t>
      </w:r>
      <w:r>
        <w:rPr/>
        <w:t>skills</w:t>
      </w:r>
      <w:r>
        <w:rPr>
          <w:spacing w:val="-2"/>
        </w:rPr>
        <w:t> </w:t>
      </w:r>
      <w:r>
        <w:rPr/>
        <w:t>needed.</w:t>
      </w:r>
      <w:r>
        <w:rPr>
          <w:spacing w:val="-3"/>
        </w:rPr>
        <w:t> </w:t>
      </w:r>
      <w:r>
        <w:rPr/>
        <w:t>In</w:t>
      </w:r>
      <w:r>
        <w:rPr>
          <w:spacing w:val="-3"/>
        </w:rPr>
        <w:t> </w:t>
      </w:r>
      <w:r>
        <w:rPr/>
        <w:t>addition,</w:t>
      </w:r>
      <w:r>
        <w:rPr>
          <w:spacing w:val="-3"/>
        </w:rPr>
        <w:t> </w:t>
      </w:r>
      <w:r>
        <w:rPr/>
        <w:t>the</w:t>
      </w:r>
      <w:r>
        <w:rPr>
          <w:spacing w:val="-2"/>
        </w:rPr>
        <w:t> </w:t>
      </w:r>
      <w:r>
        <w:rPr/>
        <w:t>IECSE teacher provides direct instruction, helps monitor progress, and communicates with families and other service providers such as speech therapists to ensure the smooth delivery of IEP services. The child’s IEP specifies the amount of time an IECSE teacher spends in the classroom and with the classroom teacher.</w:t>
      </w:r>
    </w:p>
    <w:p>
      <w:pPr>
        <w:pStyle w:val="BodyText"/>
        <w:rPr>
          <w:sz w:val="20"/>
        </w:rPr>
      </w:pPr>
    </w:p>
    <w:p>
      <w:pPr>
        <w:pStyle w:val="BodyText"/>
        <w:spacing w:before="16"/>
        <w:rPr>
          <w:sz w:val="20"/>
        </w:rPr>
      </w:pPr>
    </w:p>
    <w:p>
      <w:pPr>
        <w:pStyle w:val="BodyText"/>
        <w:spacing w:after="0"/>
        <w:rPr>
          <w:sz w:val="20"/>
        </w:rPr>
        <w:sectPr>
          <w:type w:val="continuous"/>
          <w:pgSz w:w="12240" w:h="15840"/>
          <w:pgMar w:top="740" w:bottom="280" w:left="1080" w:right="1080"/>
        </w:sect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70"/>
        <w:rPr>
          <w:sz w:val="26"/>
        </w:rPr>
      </w:pPr>
    </w:p>
    <w:p>
      <w:pPr>
        <w:pStyle w:val="Heading2"/>
        <w:ind w:left="154"/>
      </w:pPr>
      <w:r>
        <w:rPr/>
        <w:drawing>
          <wp:anchor distT="0" distB="0" distL="0" distR="0" allowOverlap="1" layoutInCell="1" locked="0" behindDoc="0" simplePos="0" relativeHeight="15729664">
            <wp:simplePos x="0" y="0"/>
            <wp:positionH relativeFrom="page">
              <wp:posOffset>846455</wp:posOffset>
            </wp:positionH>
            <wp:positionV relativeFrom="paragraph">
              <wp:posOffset>-1809210</wp:posOffset>
            </wp:positionV>
            <wp:extent cx="3390214" cy="1658594"/>
            <wp:effectExtent l="0" t="0" r="0" b="0"/>
            <wp:wrapNone/>
            <wp:docPr id="3" name="Image 3" descr="Two teachers and a child in a classroom  "/>
            <wp:cNvGraphicFramePr>
              <a:graphicFrameLocks/>
            </wp:cNvGraphicFramePr>
            <a:graphic>
              <a:graphicData uri="http://schemas.openxmlformats.org/drawingml/2006/picture">
                <pic:pic>
                  <pic:nvPicPr>
                    <pic:cNvPr id="3" name="Image 3" descr="Two teachers and a child in a classroom  "/>
                    <pic:cNvPicPr/>
                  </pic:nvPicPr>
                  <pic:blipFill>
                    <a:blip r:embed="rId6" cstate="print"/>
                    <a:stretch>
                      <a:fillRect/>
                    </a:stretch>
                  </pic:blipFill>
                  <pic:spPr>
                    <a:xfrm>
                      <a:off x="0" y="0"/>
                      <a:ext cx="3390214" cy="1658594"/>
                    </a:xfrm>
                    <a:prstGeom prst="rect">
                      <a:avLst/>
                    </a:prstGeom>
                  </pic:spPr>
                </pic:pic>
              </a:graphicData>
            </a:graphic>
          </wp:anchor>
        </w:drawing>
      </w:r>
      <w:r>
        <w:rPr>
          <w:color w:val="2C5593"/>
        </w:rPr>
        <w:t>SUCCESSFUL</w:t>
      </w:r>
      <w:r>
        <w:rPr>
          <w:color w:val="2C5593"/>
          <w:spacing w:val="54"/>
        </w:rPr>
        <w:t> </w:t>
      </w:r>
      <w:r>
        <w:rPr>
          <w:color w:val="2C5593"/>
          <w:spacing w:val="-2"/>
        </w:rPr>
        <w:t>PARTNERSHIPS</w:t>
      </w:r>
    </w:p>
    <w:p>
      <w:pPr>
        <w:pStyle w:val="BodyText"/>
        <w:spacing w:line="285" w:lineRule="auto" w:before="145"/>
        <w:ind w:left="154" w:right="2"/>
      </w:pPr>
      <w:r>
        <w:rPr>
          <w:color w:val="06080D"/>
        </w:rPr>
        <w:t>Itinerant Early Childhood Special Education services are most successful when Early Childhood and IECSE teachers</w:t>
      </w:r>
      <w:r>
        <w:rPr>
          <w:color w:val="06080D"/>
          <w:spacing w:val="-7"/>
        </w:rPr>
        <w:t> </w:t>
      </w:r>
      <w:r>
        <w:rPr>
          <w:color w:val="06080D"/>
        </w:rPr>
        <w:t>have</w:t>
      </w:r>
      <w:r>
        <w:rPr>
          <w:color w:val="06080D"/>
          <w:spacing w:val="-6"/>
        </w:rPr>
        <w:t> </w:t>
      </w:r>
      <w:r>
        <w:rPr>
          <w:color w:val="06080D"/>
        </w:rPr>
        <w:t>routine,</w:t>
      </w:r>
      <w:r>
        <w:rPr>
          <w:color w:val="06080D"/>
          <w:spacing w:val="-7"/>
        </w:rPr>
        <w:t> </w:t>
      </w:r>
      <w:r>
        <w:rPr>
          <w:color w:val="06080D"/>
        </w:rPr>
        <w:t>scheduled</w:t>
      </w:r>
      <w:r>
        <w:rPr>
          <w:color w:val="06080D"/>
          <w:spacing w:val="-7"/>
        </w:rPr>
        <w:t> </w:t>
      </w:r>
      <w:r>
        <w:rPr>
          <w:color w:val="06080D"/>
        </w:rPr>
        <w:t>planning</w:t>
      </w:r>
      <w:r>
        <w:rPr>
          <w:color w:val="06080D"/>
          <w:spacing w:val="-6"/>
        </w:rPr>
        <w:t> </w:t>
      </w:r>
      <w:r>
        <w:rPr>
          <w:color w:val="06080D"/>
        </w:rPr>
        <w:t>time</w:t>
      </w:r>
      <w:r>
        <w:rPr>
          <w:color w:val="06080D"/>
          <w:spacing w:val="-5"/>
        </w:rPr>
        <w:t> </w:t>
      </w:r>
      <w:r>
        <w:rPr>
          <w:color w:val="06080D"/>
        </w:rPr>
        <w:t>outside</w:t>
      </w:r>
      <w:r>
        <w:rPr>
          <w:color w:val="06080D"/>
          <w:spacing w:val="-6"/>
        </w:rPr>
        <w:t> </w:t>
      </w:r>
      <w:r>
        <w:rPr>
          <w:color w:val="06080D"/>
        </w:rPr>
        <w:t>of the classroom to:</w:t>
      </w:r>
    </w:p>
    <w:p>
      <w:pPr>
        <w:pStyle w:val="ListParagraph"/>
        <w:numPr>
          <w:ilvl w:val="0"/>
          <w:numId w:val="1"/>
        </w:numPr>
        <w:tabs>
          <w:tab w:pos="514" w:val="left" w:leader="none"/>
        </w:tabs>
        <w:spacing w:line="267" w:lineRule="exact" w:before="0" w:after="0"/>
        <w:ind w:left="514" w:right="0" w:hanging="360"/>
        <w:jc w:val="left"/>
        <w:rPr>
          <w:sz w:val="22"/>
        </w:rPr>
      </w:pPr>
      <w:r>
        <w:rPr>
          <w:color w:val="06080D"/>
          <w:sz w:val="22"/>
        </w:rPr>
        <w:t>Discuss</w:t>
      </w:r>
      <w:r>
        <w:rPr>
          <w:color w:val="06080D"/>
          <w:spacing w:val="-12"/>
          <w:sz w:val="22"/>
        </w:rPr>
        <w:t> </w:t>
      </w:r>
      <w:r>
        <w:rPr>
          <w:color w:val="06080D"/>
          <w:sz w:val="22"/>
        </w:rPr>
        <w:t>the</w:t>
      </w:r>
      <w:r>
        <w:rPr>
          <w:color w:val="06080D"/>
          <w:spacing w:val="-7"/>
          <w:sz w:val="22"/>
        </w:rPr>
        <w:t> </w:t>
      </w:r>
      <w:r>
        <w:rPr>
          <w:color w:val="06080D"/>
          <w:sz w:val="22"/>
        </w:rPr>
        <w:t>child</w:t>
      </w:r>
      <w:r>
        <w:rPr>
          <w:color w:val="06080D"/>
          <w:spacing w:val="-8"/>
          <w:sz w:val="22"/>
        </w:rPr>
        <w:t> </w:t>
      </w:r>
      <w:r>
        <w:rPr>
          <w:color w:val="06080D"/>
          <w:sz w:val="22"/>
        </w:rPr>
        <w:t>and</w:t>
      </w:r>
      <w:r>
        <w:rPr>
          <w:color w:val="06080D"/>
          <w:spacing w:val="-8"/>
          <w:sz w:val="22"/>
        </w:rPr>
        <w:t> </w:t>
      </w:r>
      <w:r>
        <w:rPr>
          <w:color w:val="06080D"/>
          <w:sz w:val="22"/>
        </w:rPr>
        <w:t>his/her</w:t>
      </w:r>
      <w:r>
        <w:rPr>
          <w:color w:val="06080D"/>
          <w:spacing w:val="-8"/>
          <w:sz w:val="22"/>
        </w:rPr>
        <w:t> </w:t>
      </w:r>
      <w:r>
        <w:rPr>
          <w:color w:val="06080D"/>
          <w:spacing w:val="-4"/>
          <w:sz w:val="22"/>
        </w:rPr>
        <w:t>needs</w:t>
      </w:r>
    </w:p>
    <w:p>
      <w:pPr>
        <w:pStyle w:val="ListParagraph"/>
        <w:numPr>
          <w:ilvl w:val="0"/>
          <w:numId w:val="1"/>
        </w:numPr>
        <w:tabs>
          <w:tab w:pos="514" w:val="left" w:leader="none"/>
        </w:tabs>
        <w:spacing w:line="240" w:lineRule="auto" w:before="0" w:after="0"/>
        <w:ind w:left="514" w:right="170" w:hanging="360"/>
        <w:jc w:val="left"/>
        <w:rPr>
          <w:sz w:val="22"/>
        </w:rPr>
      </w:pPr>
      <w:r>
        <w:rPr>
          <w:color w:val="06080D"/>
          <w:sz w:val="22"/>
        </w:rPr>
        <w:t>Identify</w:t>
      </w:r>
      <w:r>
        <w:rPr>
          <w:color w:val="06080D"/>
          <w:spacing w:val="-7"/>
          <w:sz w:val="22"/>
        </w:rPr>
        <w:t> </w:t>
      </w:r>
      <w:r>
        <w:rPr>
          <w:color w:val="06080D"/>
          <w:sz w:val="22"/>
        </w:rPr>
        <w:t>strategies</w:t>
      </w:r>
      <w:r>
        <w:rPr>
          <w:color w:val="06080D"/>
          <w:spacing w:val="-7"/>
          <w:sz w:val="22"/>
        </w:rPr>
        <w:t> </w:t>
      </w:r>
      <w:r>
        <w:rPr>
          <w:color w:val="06080D"/>
          <w:sz w:val="22"/>
        </w:rPr>
        <w:t>for</w:t>
      </w:r>
      <w:r>
        <w:rPr>
          <w:color w:val="06080D"/>
          <w:spacing w:val="-7"/>
          <w:sz w:val="22"/>
        </w:rPr>
        <w:t> </w:t>
      </w:r>
      <w:r>
        <w:rPr>
          <w:color w:val="06080D"/>
          <w:sz w:val="22"/>
        </w:rPr>
        <w:t>supporting</w:t>
      </w:r>
      <w:r>
        <w:rPr>
          <w:color w:val="06080D"/>
          <w:spacing w:val="-7"/>
          <w:sz w:val="22"/>
        </w:rPr>
        <w:t> </w:t>
      </w:r>
      <w:r>
        <w:rPr>
          <w:color w:val="06080D"/>
          <w:sz w:val="22"/>
        </w:rPr>
        <w:t>the</w:t>
      </w:r>
      <w:r>
        <w:rPr>
          <w:color w:val="06080D"/>
          <w:spacing w:val="-6"/>
          <w:sz w:val="22"/>
        </w:rPr>
        <w:t> </w:t>
      </w:r>
      <w:r>
        <w:rPr>
          <w:color w:val="06080D"/>
          <w:sz w:val="22"/>
        </w:rPr>
        <w:t>child’s</w:t>
      </w:r>
      <w:r>
        <w:rPr>
          <w:color w:val="06080D"/>
          <w:spacing w:val="-7"/>
          <w:sz w:val="22"/>
        </w:rPr>
        <w:t> </w:t>
      </w:r>
      <w:r>
        <w:rPr>
          <w:color w:val="06080D"/>
          <w:sz w:val="22"/>
        </w:rPr>
        <w:t>learning and participation in the classroom</w:t>
      </w:r>
    </w:p>
    <w:p>
      <w:pPr>
        <w:pStyle w:val="ListParagraph"/>
        <w:numPr>
          <w:ilvl w:val="0"/>
          <w:numId w:val="1"/>
        </w:numPr>
        <w:tabs>
          <w:tab w:pos="514" w:val="left" w:leader="none"/>
        </w:tabs>
        <w:spacing w:line="269" w:lineRule="exact" w:before="0" w:after="0"/>
        <w:ind w:left="514" w:right="0" w:hanging="360"/>
        <w:jc w:val="left"/>
        <w:rPr>
          <w:sz w:val="22"/>
        </w:rPr>
      </w:pPr>
      <w:r>
        <w:rPr>
          <w:color w:val="06080D"/>
          <w:sz w:val="22"/>
        </w:rPr>
        <w:t>Ask</w:t>
      </w:r>
      <w:r>
        <w:rPr>
          <w:color w:val="06080D"/>
          <w:spacing w:val="-6"/>
          <w:sz w:val="22"/>
        </w:rPr>
        <w:t> </w:t>
      </w:r>
      <w:r>
        <w:rPr>
          <w:color w:val="06080D"/>
          <w:sz w:val="22"/>
        </w:rPr>
        <w:t>and</w:t>
      </w:r>
      <w:r>
        <w:rPr>
          <w:color w:val="06080D"/>
          <w:spacing w:val="-6"/>
          <w:sz w:val="22"/>
        </w:rPr>
        <w:t> </w:t>
      </w:r>
      <w:r>
        <w:rPr>
          <w:color w:val="06080D"/>
          <w:sz w:val="22"/>
        </w:rPr>
        <w:t>answer</w:t>
      </w:r>
      <w:r>
        <w:rPr>
          <w:color w:val="06080D"/>
          <w:spacing w:val="-6"/>
          <w:sz w:val="22"/>
        </w:rPr>
        <w:t> </w:t>
      </w:r>
      <w:r>
        <w:rPr>
          <w:color w:val="06080D"/>
          <w:spacing w:val="-2"/>
          <w:sz w:val="22"/>
        </w:rPr>
        <w:t>questions</w:t>
      </w:r>
    </w:p>
    <w:p>
      <w:pPr>
        <w:pStyle w:val="ListParagraph"/>
        <w:numPr>
          <w:ilvl w:val="0"/>
          <w:numId w:val="1"/>
        </w:numPr>
        <w:tabs>
          <w:tab w:pos="513" w:val="left" w:leader="none"/>
        </w:tabs>
        <w:spacing w:line="269" w:lineRule="exact" w:before="0" w:after="0"/>
        <w:ind w:left="513" w:right="0" w:hanging="359"/>
        <w:jc w:val="left"/>
        <w:rPr>
          <w:sz w:val="22"/>
        </w:rPr>
      </w:pPr>
      <w:r>
        <w:rPr>
          <w:color w:val="06080D"/>
          <w:sz w:val="22"/>
        </w:rPr>
        <w:t>Address</w:t>
      </w:r>
      <w:r>
        <w:rPr>
          <w:color w:val="06080D"/>
          <w:spacing w:val="-10"/>
          <w:sz w:val="22"/>
        </w:rPr>
        <w:t> </w:t>
      </w:r>
      <w:r>
        <w:rPr>
          <w:color w:val="06080D"/>
          <w:sz w:val="22"/>
        </w:rPr>
        <w:t>any</w:t>
      </w:r>
      <w:r>
        <w:rPr>
          <w:color w:val="06080D"/>
          <w:spacing w:val="-9"/>
          <w:sz w:val="22"/>
        </w:rPr>
        <w:t> </w:t>
      </w:r>
      <w:r>
        <w:rPr>
          <w:color w:val="06080D"/>
          <w:sz w:val="22"/>
        </w:rPr>
        <w:t>challenges</w:t>
      </w:r>
      <w:r>
        <w:rPr>
          <w:color w:val="06080D"/>
          <w:spacing w:val="-9"/>
          <w:sz w:val="22"/>
        </w:rPr>
        <w:t> </w:t>
      </w:r>
      <w:r>
        <w:rPr>
          <w:color w:val="06080D"/>
          <w:sz w:val="22"/>
        </w:rPr>
        <w:t>that</w:t>
      </w:r>
      <w:r>
        <w:rPr>
          <w:color w:val="06080D"/>
          <w:spacing w:val="-10"/>
          <w:sz w:val="22"/>
        </w:rPr>
        <w:t> </w:t>
      </w:r>
      <w:r>
        <w:rPr>
          <w:color w:val="06080D"/>
          <w:spacing w:val="-4"/>
          <w:sz w:val="22"/>
        </w:rPr>
        <w:t>arise</w:t>
      </w:r>
    </w:p>
    <w:p>
      <w:pPr>
        <w:pStyle w:val="BodyText"/>
        <w:spacing w:line="285" w:lineRule="auto" w:before="143"/>
        <w:ind w:left="153" w:right="85"/>
      </w:pPr>
      <w:r>
        <w:rPr>
          <w:color w:val="06080D"/>
        </w:rPr>
        <w:t>When</w:t>
      </w:r>
      <w:r>
        <w:rPr>
          <w:color w:val="06080D"/>
          <w:spacing w:val="-6"/>
        </w:rPr>
        <w:t> </w:t>
      </w:r>
      <w:r>
        <w:rPr>
          <w:color w:val="06080D"/>
        </w:rPr>
        <w:t>teachers</w:t>
      </w:r>
      <w:r>
        <w:rPr>
          <w:color w:val="06080D"/>
          <w:spacing w:val="-6"/>
        </w:rPr>
        <w:t> </w:t>
      </w:r>
      <w:r>
        <w:rPr>
          <w:color w:val="06080D"/>
        </w:rPr>
        <w:t>are</w:t>
      </w:r>
      <w:r>
        <w:rPr>
          <w:color w:val="06080D"/>
          <w:spacing w:val="-5"/>
        </w:rPr>
        <w:t> </w:t>
      </w:r>
      <w:r>
        <w:rPr>
          <w:color w:val="06080D"/>
        </w:rPr>
        <w:t>approachable,</w:t>
      </w:r>
      <w:r>
        <w:rPr>
          <w:color w:val="06080D"/>
          <w:spacing w:val="-13"/>
        </w:rPr>
        <w:t> </w:t>
      </w:r>
      <w:r>
        <w:rPr>
          <w:color w:val="06080D"/>
        </w:rPr>
        <w:t>willing</w:t>
      </w:r>
      <w:r>
        <w:rPr>
          <w:color w:val="06080D"/>
          <w:spacing w:val="-11"/>
        </w:rPr>
        <w:t> </w:t>
      </w:r>
      <w:r>
        <w:rPr>
          <w:color w:val="06080D"/>
        </w:rPr>
        <w:t>to</w:t>
      </w:r>
      <w:r>
        <w:rPr>
          <w:color w:val="06080D"/>
          <w:spacing w:val="-11"/>
        </w:rPr>
        <w:t> </w:t>
      </w:r>
      <w:r>
        <w:rPr>
          <w:color w:val="06080D"/>
        </w:rPr>
        <w:t>learn,</w:t>
      </w:r>
      <w:r>
        <w:rPr>
          <w:color w:val="06080D"/>
          <w:spacing w:val="-12"/>
        </w:rPr>
        <w:t> </w:t>
      </w:r>
      <w:r>
        <w:rPr>
          <w:color w:val="06080D"/>
        </w:rPr>
        <w:t>and treat one another with respect, their partnership will enable their student to fully participate, learn, and </w:t>
      </w:r>
      <w:r>
        <w:rPr>
          <w:color w:val="06080D"/>
          <w:spacing w:val="-2"/>
        </w:rPr>
        <w:t>belong.</w:t>
      </w:r>
    </w:p>
    <w:p>
      <w:pPr>
        <w:pStyle w:val="Heading2"/>
        <w:spacing w:line="288" w:lineRule="auto" w:before="101"/>
        <w:ind w:right="744"/>
      </w:pPr>
      <w:r>
        <w:rPr>
          <w:b w:val="0"/>
        </w:rPr>
        <w:br w:type="column"/>
      </w:r>
      <w:r>
        <w:rPr>
          <w:color w:val="2C5593"/>
        </w:rPr>
        <w:t>Including</w:t>
      </w:r>
      <w:r>
        <w:rPr>
          <w:color w:val="2C5593"/>
          <w:spacing w:val="-20"/>
        </w:rPr>
        <w:t> </w:t>
      </w:r>
      <w:r>
        <w:rPr>
          <w:color w:val="2C5593"/>
        </w:rPr>
        <w:t>preschoolers with developmental delays</w:t>
      </w:r>
      <w:r>
        <w:rPr>
          <w:color w:val="2C5593"/>
          <w:spacing w:val="-12"/>
        </w:rPr>
        <w:t> </w:t>
      </w:r>
      <w:r>
        <w:rPr>
          <w:color w:val="2C5593"/>
        </w:rPr>
        <w:t>or</w:t>
      </w:r>
      <w:r>
        <w:rPr>
          <w:color w:val="2C5593"/>
          <w:spacing w:val="-13"/>
        </w:rPr>
        <w:t> </w:t>
      </w:r>
      <w:r>
        <w:rPr>
          <w:color w:val="2C5593"/>
        </w:rPr>
        <w:t>disabilities</w:t>
      </w:r>
      <w:r>
        <w:rPr>
          <w:color w:val="2C5593"/>
          <w:spacing w:val="-12"/>
        </w:rPr>
        <w:t> </w:t>
      </w:r>
      <w:r>
        <w:rPr>
          <w:color w:val="2C5593"/>
        </w:rPr>
        <w:t>in early childhood </w:t>
      </w:r>
      <w:r>
        <w:rPr>
          <w:color w:val="2C5593"/>
          <w:spacing w:val="-2"/>
        </w:rPr>
        <w:t>classrooms:</w:t>
      </w:r>
    </w:p>
    <w:p>
      <w:pPr>
        <w:pStyle w:val="ListParagraph"/>
        <w:numPr>
          <w:ilvl w:val="0"/>
          <w:numId w:val="2"/>
        </w:numPr>
        <w:tabs>
          <w:tab w:pos="285" w:val="left" w:leader="none"/>
        </w:tabs>
        <w:spacing w:line="283" w:lineRule="auto" w:before="3" w:after="0"/>
        <w:ind w:left="285" w:right="716" w:hanging="195"/>
        <w:jc w:val="left"/>
        <w:rPr>
          <w:sz w:val="22"/>
        </w:rPr>
      </w:pPr>
      <w:r>
        <w:rPr>
          <w:sz w:val="22"/>
        </w:rPr>
        <mc:AlternateContent>
          <mc:Choice Requires="wps">
            <w:drawing>
              <wp:anchor distT="0" distB="0" distL="0" distR="0" allowOverlap="1" layoutInCell="1" locked="0" behindDoc="0" simplePos="0" relativeHeight="15730176">
                <wp:simplePos x="0" y="0"/>
                <wp:positionH relativeFrom="page">
                  <wp:posOffset>4472938</wp:posOffset>
                </wp:positionH>
                <wp:positionV relativeFrom="paragraph">
                  <wp:posOffset>-1326473</wp:posOffset>
                </wp:positionV>
                <wp:extent cx="1270" cy="466090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1270" cy="4660900"/>
                        </a:xfrm>
                        <a:custGeom>
                          <a:avLst/>
                          <a:gdLst/>
                          <a:ahLst/>
                          <a:cxnLst/>
                          <a:rect l="l" t="t" r="r" b="b"/>
                          <a:pathLst>
                            <a:path w="0" h="4660900">
                              <a:moveTo>
                                <a:pt x="0" y="4660684"/>
                              </a:moveTo>
                              <a:lnTo>
                                <a:pt x="0" y="0"/>
                              </a:lnTo>
                            </a:path>
                          </a:pathLst>
                        </a:custGeom>
                        <a:ln w="28575">
                          <a:solidFill>
                            <a:srgbClr val="2C5593"/>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0176" from="352.19989pt,262.536261pt" to="352.19989pt,-104.446739pt" stroked="true" strokeweight="2.25pt" strokecolor="#2c5593">
                <v:stroke dashstyle="solid"/>
                <w10:wrap type="none"/>
              </v:line>
            </w:pict>
          </mc:Fallback>
        </mc:AlternateContent>
      </w:r>
      <w:r>
        <w:rPr>
          <w:color w:val="06080D"/>
          <w:spacing w:val="-2"/>
          <w:sz w:val="22"/>
        </w:rPr>
        <w:t>Provides</w:t>
      </w:r>
      <w:r>
        <w:rPr>
          <w:color w:val="06080D"/>
          <w:spacing w:val="-6"/>
          <w:sz w:val="22"/>
        </w:rPr>
        <w:t> </w:t>
      </w:r>
      <w:r>
        <w:rPr>
          <w:color w:val="06080D"/>
          <w:spacing w:val="-2"/>
          <w:sz w:val="22"/>
        </w:rPr>
        <w:t>opportunities</w:t>
      </w:r>
      <w:r>
        <w:rPr>
          <w:color w:val="06080D"/>
          <w:spacing w:val="-6"/>
          <w:sz w:val="22"/>
        </w:rPr>
        <w:t> </w:t>
      </w:r>
      <w:r>
        <w:rPr>
          <w:color w:val="06080D"/>
          <w:spacing w:val="-2"/>
          <w:sz w:val="22"/>
        </w:rPr>
        <w:t>to</w:t>
      </w:r>
      <w:r>
        <w:rPr>
          <w:color w:val="06080D"/>
          <w:spacing w:val="-5"/>
          <w:sz w:val="22"/>
        </w:rPr>
        <w:t> </w:t>
      </w:r>
      <w:r>
        <w:rPr>
          <w:color w:val="06080D"/>
          <w:spacing w:val="-2"/>
          <w:sz w:val="22"/>
        </w:rPr>
        <w:t>learn </w:t>
      </w:r>
      <w:r>
        <w:rPr>
          <w:color w:val="06080D"/>
          <w:sz w:val="22"/>
        </w:rPr>
        <w:t>from same-age peers</w:t>
      </w:r>
    </w:p>
    <w:p>
      <w:pPr>
        <w:pStyle w:val="ListParagraph"/>
        <w:numPr>
          <w:ilvl w:val="0"/>
          <w:numId w:val="2"/>
        </w:numPr>
        <w:tabs>
          <w:tab w:pos="285" w:val="left" w:leader="none"/>
        </w:tabs>
        <w:spacing w:line="285" w:lineRule="auto" w:before="2" w:after="0"/>
        <w:ind w:left="285" w:right="611" w:hanging="195"/>
        <w:jc w:val="left"/>
        <w:rPr>
          <w:sz w:val="22"/>
        </w:rPr>
      </w:pPr>
      <w:r>
        <w:rPr>
          <w:color w:val="06080D"/>
          <w:sz w:val="22"/>
        </w:rPr>
        <w:t>Offers</w:t>
      </w:r>
      <w:r>
        <w:rPr>
          <w:color w:val="06080D"/>
          <w:spacing w:val="-14"/>
          <w:sz w:val="22"/>
        </w:rPr>
        <w:t> </w:t>
      </w:r>
      <w:r>
        <w:rPr>
          <w:color w:val="06080D"/>
          <w:sz w:val="22"/>
        </w:rPr>
        <w:t>multiple</w:t>
      </w:r>
      <w:r>
        <w:rPr>
          <w:color w:val="06080D"/>
          <w:spacing w:val="-12"/>
          <w:sz w:val="22"/>
        </w:rPr>
        <w:t> </w:t>
      </w:r>
      <w:r>
        <w:rPr>
          <w:color w:val="06080D"/>
          <w:sz w:val="22"/>
        </w:rPr>
        <w:t>opportunities</w:t>
      </w:r>
      <w:r>
        <w:rPr>
          <w:color w:val="06080D"/>
          <w:spacing w:val="-14"/>
          <w:sz w:val="22"/>
        </w:rPr>
        <w:t> </w:t>
      </w:r>
      <w:r>
        <w:rPr>
          <w:color w:val="06080D"/>
          <w:sz w:val="22"/>
        </w:rPr>
        <w:t>to practice skills across the day</w:t>
      </w:r>
    </w:p>
    <w:p>
      <w:pPr>
        <w:pStyle w:val="ListParagraph"/>
        <w:numPr>
          <w:ilvl w:val="0"/>
          <w:numId w:val="2"/>
        </w:numPr>
        <w:tabs>
          <w:tab w:pos="285" w:val="left" w:leader="none"/>
        </w:tabs>
        <w:spacing w:line="285" w:lineRule="auto" w:before="0" w:after="0"/>
        <w:ind w:left="285" w:right="392" w:hanging="195"/>
        <w:jc w:val="left"/>
        <w:rPr>
          <w:sz w:val="22"/>
        </w:rPr>
      </w:pPr>
      <w:r>
        <w:rPr>
          <w:color w:val="06080D"/>
          <w:sz w:val="22"/>
        </w:rPr>
        <w:t>Leads to greater cognitive and </w:t>
      </w:r>
      <w:r>
        <w:rPr>
          <w:color w:val="06080D"/>
          <w:spacing w:val="-2"/>
          <w:sz w:val="22"/>
        </w:rPr>
        <w:t>communication</w:t>
      </w:r>
      <w:r>
        <w:rPr>
          <w:color w:val="06080D"/>
          <w:spacing w:val="-8"/>
          <w:sz w:val="22"/>
        </w:rPr>
        <w:t> </w:t>
      </w:r>
      <w:r>
        <w:rPr>
          <w:color w:val="06080D"/>
          <w:spacing w:val="-2"/>
          <w:sz w:val="22"/>
        </w:rPr>
        <w:t>development</w:t>
      </w:r>
      <w:r>
        <w:rPr>
          <w:color w:val="06080D"/>
          <w:spacing w:val="-7"/>
          <w:sz w:val="22"/>
        </w:rPr>
        <w:t> </w:t>
      </w:r>
      <w:r>
        <w:rPr>
          <w:color w:val="06080D"/>
          <w:spacing w:val="-2"/>
          <w:sz w:val="22"/>
        </w:rPr>
        <w:t>than </w:t>
      </w:r>
      <w:r>
        <w:rPr>
          <w:color w:val="06080D"/>
          <w:sz w:val="22"/>
        </w:rPr>
        <w:t>services in self-contained special education classrooms</w:t>
      </w:r>
    </w:p>
    <w:p>
      <w:pPr>
        <w:pStyle w:val="ListParagraph"/>
        <w:numPr>
          <w:ilvl w:val="0"/>
          <w:numId w:val="2"/>
        </w:numPr>
        <w:tabs>
          <w:tab w:pos="285" w:val="left" w:leader="none"/>
        </w:tabs>
        <w:spacing w:line="285" w:lineRule="auto" w:before="0" w:after="0"/>
        <w:ind w:left="285" w:right="444" w:hanging="195"/>
        <w:jc w:val="left"/>
        <w:rPr>
          <w:sz w:val="22"/>
        </w:rPr>
      </w:pPr>
      <w:r>
        <w:rPr>
          <w:color w:val="06080D"/>
          <w:sz w:val="22"/>
        </w:rPr>
        <w:t>Results in children who are more socially</w:t>
      </w:r>
      <w:r>
        <w:rPr>
          <w:color w:val="06080D"/>
          <w:spacing w:val="-14"/>
          <w:sz w:val="22"/>
        </w:rPr>
        <w:t> </w:t>
      </w:r>
      <w:r>
        <w:rPr>
          <w:color w:val="06080D"/>
          <w:sz w:val="22"/>
        </w:rPr>
        <w:t>competent</w:t>
      </w:r>
      <w:r>
        <w:rPr>
          <w:color w:val="06080D"/>
          <w:spacing w:val="-13"/>
          <w:sz w:val="22"/>
        </w:rPr>
        <w:t> </w:t>
      </w:r>
      <w:r>
        <w:rPr>
          <w:color w:val="06080D"/>
          <w:sz w:val="22"/>
        </w:rPr>
        <w:t>and</w:t>
      </w:r>
      <w:r>
        <w:rPr>
          <w:color w:val="06080D"/>
          <w:spacing w:val="-13"/>
          <w:sz w:val="22"/>
        </w:rPr>
        <w:t> </w:t>
      </w:r>
      <w:r>
        <w:rPr>
          <w:color w:val="06080D"/>
          <w:sz w:val="22"/>
        </w:rPr>
        <w:t>have</w:t>
      </w:r>
      <w:r>
        <w:rPr>
          <w:color w:val="06080D"/>
          <w:spacing w:val="-14"/>
          <w:sz w:val="22"/>
        </w:rPr>
        <w:t> </w:t>
      </w:r>
      <w:r>
        <w:rPr>
          <w:color w:val="06080D"/>
          <w:sz w:val="22"/>
        </w:rPr>
        <w:t>more friends than in self-contained </w:t>
      </w:r>
      <w:r>
        <w:rPr>
          <w:color w:val="06080D"/>
          <w:spacing w:val="-2"/>
          <w:sz w:val="22"/>
        </w:rPr>
        <w:t>classrooms</w:t>
      </w:r>
    </w:p>
    <w:p>
      <w:pPr>
        <w:pStyle w:val="ListParagraph"/>
        <w:numPr>
          <w:ilvl w:val="0"/>
          <w:numId w:val="2"/>
        </w:numPr>
        <w:tabs>
          <w:tab w:pos="285" w:val="left" w:leader="none"/>
        </w:tabs>
        <w:spacing w:line="285" w:lineRule="auto" w:before="0" w:after="0"/>
        <w:ind w:left="285" w:right="742" w:hanging="195"/>
        <w:jc w:val="left"/>
        <w:rPr>
          <w:sz w:val="22"/>
        </w:rPr>
      </w:pPr>
      <w:r>
        <w:rPr>
          <w:color w:val="06080D"/>
          <w:spacing w:val="-2"/>
          <w:sz w:val="22"/>
        </w:rPr>
        <w:t>Minimizes</w:t>
      </w:r>
      <w:r>
        <w:rPr>
          <w:color w:val="06080D"/>
          <w:spacing w:val="-9"/>
          <w:sz w:val="22"/>
        </w:rPr>
        <w:t> </w:t>
      </w:r>
      <w:r>
        <w:rPr>
          <w:color w:val="06080D"/>
          <w:spacing w:val="-2"/>
          <w:sz w:val="22"/>
        </w:rPr>
        <w:t>transitions</w:t>
      </w:r>
      <w:r>
        <w:rPr>
          <w:color w:val="06080D"/>
          <w:spacing w:val="-6"/>
          <w:sz w:val="22"/>
        </w:rPr>
        <w:t> </w:t>
      </w:r>
      <w:r>
        <w:rPr>
          <w:color w:val="06080D"/>
          <w:spacing w:val="-2"/>
          <w:sz w:val="22"/>
        </w:rPr>
        <w:t>between programs</w:t>
      </w:r>
    </w:p>
    <w:sectPr>
      <w:type w:val="continuous"/>
      <w:pgSz w:w="12240" w:h="15840"/>
      <w:pgMar w:top="740" w:bottom="280" w:left="1080" w:right="1080"/>
      <w:cols w:num="2" w:equalWidth="0">
        <w:col w:w="5792" w:space="302"/>
        <w:col w:w="3986"/>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Georgia">
    <w:altName w:val="Georgia"/>
    <w:charset w:val="0"/>
    <w:family w:val="roman"/>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4.500000pt;height:4.500000pt" o:bullet="t">
        <v:imagedata r:id="rId1" o:title="image3.png"/>
      </v:shape>
    </w:pict>
  </w:numPicBullet>
  <w:abstractNum w:abstractNumId="1">
    <w:multiLevelType w:val="hybridMultilevel"/>
    <w:lvl w:ilvl="0">
      <w:start w:val="0"/>
      <w:numFmt w:val="bullet"/>
      <w:lvlText w:val="&amp;"/>
      <w:lvlPicBulletId w:val="0"/>
      <w:lvlJc w:val="left"/>
      <w:pPr>
        <w:ind w:left="285" w:hanging="195"/>
      </w:pPr>
      <w:rPr>
        <w:rFonts w:hint="default" w:ascii="Times New Roman" w:hAnsi="Times New Roman" w:eastAsia="Times New Roman" w:cs="Times New Roman"/>
        <w:b w:val="0"/>
        <w:bCs w:val="0"/>
        <w:i w:val="0"/>
        <w:iCs w:val="0"/>
        <w:w w:val="100"/>
        <w:position w:val="1"/>
        <w:sz w:val="9"/>
        <w:szCs w:val="9"/>
        <w:lang w:val="en-US" w:eastAsia="en-US" w:bidi="ar-SA"/>
      </w:rPr>
    </w:lvl>
    <w:lvl w:ilvl="1">
      <w:start w:val="0"/>
      <w:numFmt w:val="bullet"/>
      <w:lvlText w:val="•"/>
      <w:lvlJc w:val="left"/>
      <w:pPr>
        <w:ind w:left="650" w:hanging="195"/>
      </w:pPr>
      <w:rPr>
        <w:rFonts w:hint="default"/>
        <w:lang w:val="en-US" w:eastAsia="en-US" w:bidi="ar-SA"/>
      </w:rPr>
    </w:lvl>
    <w:lvl w:ilvl="2">
      <w:start w:val="0"/>
      <w:numFmt w:val="bullet"/>
      <w:lvlText w:val="•"/>
      <w:lvlJc w:val="left"/>
      <w:pPr>
        <w:ind w:left="1021" w:hanging="195"/>
      </w:pPr>
      <w:rPr>
        <w:rFonts w:hint="default"/>
        <w:lang w:val="en-US" w:eastAsia="en-US" w:bidi="ar-SA"/>
      </w:rPr>
    </w:lvl>
    <w:lvl w:ilvl="3">
      <w:start w:val="0"/>
      <w:numFmt w:val="bullet"/>
      <w:lvlText w:val="•"/>
      <w:lvlJc w:val="left"/>
      <w:pPr>
        <w:ind w:left="1391" w:hanging="195"/>
      </w:pPr>
      <w:rPr>
        <w:rFonts w:hint="default"/>
        <w:lang w:val="en-US" w:eastAsia="en-US" w:bidi="ar-SA"/>
      </w:rPr>
    </w:lvl>
    <w:lvl w:ilvl="4">
      <w:start w:val="0"/>
      <w:numFmt w:val="bullet"/>
      <w:lvlText w:val="•"/>
      <w:lvlJc w:val="left"/>
      <w:pPr>
        <w:ind w:left="1762" w:hanging="195"/>
      </w:pPr>
      <w:rPr>
        <w:rFonts w:hint="default"/>
        <w:lang w:val="en-US" w:eastAsia="en-US" w:bidi="ar-SA"/>
      </w:rPr>
    </w:lvl>
    <w:lvl w:ilvl="5">
      <w:start w:val="0"/>
      <w:numFmt w:val="bullet"/>
      <w:lvlText w:val="•"/>
      <w:lvlJc w:val="left"/>
      <w:pPr>
        <w:ind w:left="2133" w:hanging="195"/>
      </w:pPr>
      <w:rPr>
        <w:rFonts w:hint="default"/>
        <w:lang w:val="en-US" w:eastAsia="en-US" w:bidi="ar-SA"/>
      </w:rPr>
    </w:lvl>
    <w:lvl w:ilvl="6">
      <w:start w:val="0"/>
      <w:numFmt w:val="bullet"/>
      <w:lvlText w:val="•"/>
      <w:lvlJc w:val="left"/>
      <w:pPr>
        <w:ind w:left="2503" w:hanging="195"/>
      </w:pPr>
      <w:rPr>
        <w:rFonts w:hint="default"/>
        <w:lang w:val="en-US" w:eastAsia="en-US" w:bidi="ar-SA"/>
      </w:rPr>
    </w:lvl>
    <w:lvl w:ilvl="7">
      <w:start w:val="0"/>
      <w:numFmt w:val="bullet"/>
      <w:lvlText w:val="•"/>
      <w:lvlJc w:val="left"/>
      <w:pPr>
        <w:ind w:left="2874" w:hanging="195"/>
      </w:pPr>
      <w:rPr>
        <w:rFonts w:hint="default"/>
        <w:lang w:val="en-US" w:eastAsia="en-US" w:bidi="ar-SA"/>
      </w:rPr>
    </w:lvl>
    <w:lvl w:ilvl="8">
      <w:start w:val="0"/>
      <w:numFmt w:val="bullet"/>
      <w:lvlText w:val="•"/>
      <w:lvlJc w:val="left"/>
      <w:pPr>
        <w:ind w:left="3245" w:hanging="195"/>
      </w:pPr>
      <w:rPr>
        <w:rFonts w:hint="default"/>
        <w:lang w:val="en-US" w:eastAsia="en-US" w:bidi="ar-SA"/>
      </w:rPr>
    </w:lvl>
  </w:abstractNum>
  <w:abstractNum w:abstractNumId="0">
    <w:multiLevelType w:val="hybridMultilevel"/>
    <w:lvl w:ilvl="0">
      <w:start w:val="0"/>
      <w:numFmt w:val="bullet"/>
      <w:lvlText w:val=""/>
      <w:lvlJc w:val="left"/>
      <w:pPr>
        <w:ind w:left="514" w:hanging="360"/>
      </w:pPr>
      <w:rPr>
        <w:rFonts w:hint="default" w:ascii="Symbol" w:hAnsi="Symbol" w:eastAsia="Symbol" w:cs="Symbol"/>
        <w:b w:val="0"/>
        <w:bCs w:val="0"/>
        <w:i w:val="0"/>
        <w:iCs w:val="0"/>
        <w:color w:val="06080D"/>
        <w:spacing w:val="0"/>
        <w:w w:val="99"/>
        <w:sz w:val="22"/>
        <w:szCs w:val="22"/>
        <w:lang w:val="en-US" w:eastAsia="en-US" w:bidi="ar-SA"/>
      </w:rPr>
    </w:lvl>
    <w:lvl w:ilvl="1">
      <w:start w:val="0"/>
      <w:numFmt w:val="bullet"/>
      <w:lvlText w:val="•"/>
      <w:lvlJc w:val="left"/>
      <w:pPr>
        <w:ind w:left="1047" w:hanging="360"/>
      </w:pPr>
      <w:rPr>
        <w:rFonts w:hint="default"/>
        <w:lang w:val="en-US" w:eastAsia="en-US" w:bidi="ar-SA"/>
      </w:rPr>
    </w:lvl>
    <w:lvl w:ilvl="2">
      <w:start w:val="0"/>
      <w:numFmt w:val="bullet"/>
      <w:lvlText w:val="•"/>
      <w:lvlJc w:val="left"/>
      <w:pPr>
        <w:ind w:left="1574" w:hanging="360"/>
      </w:pPr>
      <w:rPr>
        <w:rFonts w:hint="default"/>
        <w:lang w:val="en-US" w:eastAsia="en-US" w:bidi="ar-SA"/>
      </w:rPr>
    </w:lvl>
    <w:lvl w:ilvl="3">
      <w:start w:val="0"/>
      <w:numFmt w:val="bullet"/>
      <w:lvlText w:val="•"/>
      <w:lvlJc w:val="left"/>
      <w:pPr>
        <w:ind w:left="2101" w:hanging="360"/>
      </w:pPr>
      <w:rPr>
        <w:rFonts w:hint="default"/>
        <w:lang w:val="en-US" w:eastAsia="en-US" w:bidi="ar-SA"/>
      </w:rPr>
    </w:lvl>
    <w:lvl w:ilvl="4">
      <w:start w:val="0"/>
      <w:numFmt w:val="bullet"/>
      <w:lvlText w:val="•"/>
      <w:lvlJc w:val="left"/>
      <w:pPr>
        <w:ind w:left="2628" w:hanging="360"/>
      </w:pPr>
      <w:rPr>
        <w:rFonts w:hint="default"/>
        <w:lang w:val="en-US" w:eastAsia="en-US" w:bidi="ar-SA"/>
      </w:rPr>
    </w:lvl>
    <w:lvl w:ilvl="5">
      <w:start w:val="0"/>
      <w:numFmt w:val="bullet"/>
      <w:lvlText w:val="•"/>
      <w:lvlJc w:val="left"/>
      <w:pPr>
        <w:ind w:left="3155" w:hanging="360"/>
      </w:pPr>
      <w:rPr>
        <w:rFonts w:hint="default"/>
        <w:lang w:val="en-US" w:eastAsia="en-US" w:bidi="ar-SA"/>
      </w:rPr>
    </w:lvl>
    <w:lvl w:ilvl="6">
      <w:start w:val="0"/>
      <w:numFmt w:val="bullet"/>
      <w:lvlText w:val="•"/>
      <w:lvlJc w:val="left"/>
      <w:pPr>
        <w:ind w:left="3682" w:hanging="360"/>
      </w:pPr>
      <w:rPr>
        <w:rFonts w:hint="default"/>
        <w:lang w:val="en-US" w:eastAsia="en-US" w:bidi="ar-SA"/>
      </w:rPr>
    </w:lvl>
    <w:lvl w:ilvl="7">
      <w:start w:val="0"/>
      <w:numFmt w:val="bullet"/>
      <w:lvlText w:val="•"/>
      <w:lvlJc w:val="left"/>
      <w:pPr>
        <w:ind w:left="4209" w:hanging="360"/>
      </w:pPr>
      <w:rPr>
        <w:rFonts w:hint="default"/>
        <w:lang w:val="en-US" w:eastAsia="en-US" w:bidi="ar-SA"/>
      </w:rPr>
    </w:lvl>
    <w:lvl w:ilvl="8">
      <w:start w:val="0"/>
      <w:numFmt w:val="bullet"/>
      <w:lvlText w:val="•"/>
      <w:lvlJc w:val="left"/>
      <w:pPr>
        <w:ind w:left="4737" w:hanging="36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Georgia" w:hAnsi="Georgia" w:eastAsia="Georgia" w:cs="Georgia"/>
      <w:lang w:val="en-US" w:eastAsia="en-US" w:bidi="ar-SA"/>
    </w:rPr>
  </w:style>
  <w:style w:styleId="BodyText" w:type="paragraph">
    <w:name w:val="Body Text"/>
    <w:basedOn w:val="Normal"/>
    <w:uiPriority w:val="1"/>
    <w:qFormat/>
    <w:pPr/>
    <w:rPr>
      <w:rFonts w:ascii="Georgia" w:hAnsi="Georgia" w:eastAsia="Georgia" w:cs="Georgia"/>
      <w:sz w:val="22"/>
      <w:szCs w:val="22"/>
      <w:lang w:val="en-US" w:eastAsia="en-US" w:bidi="ar-SA"/>
    </w:rPr>
  </w:style>
  <w:style w:styleId="Heading1" w:type="paragraph">
    <w:name w:val="Heading 1"/>
    <w:basedOn w:val="Normal"/>
    <w:uiPriority w:val="1"/>
    <w:qFormat/>
    <w:pPr>
      <w:spacing w:before="115"/>
      <w:ind w:left="27" w:right="1240"/>
      <w:outlineLvl w:val="1"/>
    </w:pPr>
    <w:rPr>
      <w:rFonts w:ascii="Georgia" w:hAnsi="Georgia" w:eastAsia="Georgia" w:cs="Georgia"/>
      <w:b/>
      <w:bCs/>
      <w:sz w:val="52"/>
      <w:szCs w:val="52"/>
      <w:lang w:val="en-US" w:eastAsia="en-US" w:bidi="ar-SA"/>
    </w:rPr>
  </w:style>
  <w:style w:styleId="Heading2" w:type="paragraph">
    <w:name w:val="Heading 2"/>
    <w:basedOn w:val="Normal"/>
    <w:uiPriority w:val="1"/>
    <w:qFormat/>
    <w:pPr>
      <w:ind w:left="153"/>
      <w:outlineLvl w:val="2"/>
    </w:pPr>
    <w:rPr>
      <w:rFonts w:ascii="Georgia" w:hAnsi="Georgia" w:eastAsia="Georgia" w:cs="Georgia"/>
      <w:b/>
      <w:bCs/>
      <w:sz w:val="26"/>
      <w:szCs w:val="26"/>
      <w:lang w:val="en-US" w:eastAsia="en-US" w:bidi="ar-SA"/>
    </w:rPr>
  </w:style>
  <w:style w:styleId="ListParagraph" w:type="paragraph">
    <w:name w:val="List Paragraph"/>
    <w:basedOn w:val="Normal"/>
    <w:uiPriority w:val="1"/>
    <w:qFormat/>
    <w:pPr>
      <w:ind w:left="285" w:hanging="195"/>
    </w:pPr>
    <w:rPr>
      <w:rFonts w:ascii="Georgia" w:hAnsi="Georgia" w:eastAsia="Georgia" w:cs="Georgia"/>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Virginia Commonwealth University</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Jaye Harvey</dc:creator>
  <cp:keywords>DAFvpp4EdQg,BACUSbZLXLM</cp:keywords>
  <dc:title>Blue Modern Company Newsletter</dc:title>
  <dcterms:created xsi:type="dcterms:W3CDTF">2026-10-07T21:31:43Z</dcterms:created>
  <dcterms:modified xsi:type="dcterms:W3CDTF">2026-10-07T21:31:43Z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2024-01-10T00:00:00Z</vt:filetime>
  </property>
  <property fmtid="{D5CDD505-2E9C-101B-9397-08002B2CF9AE}" pid="3" name="Creator">
    <vt:lpwstr>Acrobat PDFMaker 23 for Word</vt:lpwstr>
  </property>
  <property fmtid="{D5CDD505-2E9C-101B-9397-08002B2CF9AE}" pid="4" name="GrammarlyDocumentId">
    <vt:lpwstr>1a08d0f0402f5832225f5c66241270fc4e8e55cefb190c96d16b0d33d5b023b0</vt:lpwstr>
  </property>
  <property fmtid="{D5CDD505-2E9C-101B-9397-08002B2CF9AE}" pid="5" name="LastSaved">
    <vt:filetime>2026-10-07T00:00:00Z</vt:filetime>
  </property>
  <property fmtid="{D5CDD505-2E9C-101B-9397-08002B2CF9AE}" pid="6" name="Producer">
    <vt:lpwstr>Adobe PDF Library 23.8.234</vt:lpwstr>
  </property>
  <property fmtid="{D5CDD505-2E9C-101B-9397-08002B2CF9AE}" pid="7" name="SourceModified">
    <vt:lpwstr/>
  </property>
</Properties>
</file>