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6914" w14:textId="0EB7B450" w:rsidR="003C04A7" w:rsidRPr="005777C8" w:rsidRDefault="00455F63" w:rsidP="00D11F6E">
      <w:pPr>
        <w:pStyle w:val="Title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388D0C5F" wp14:editId="7C6CC2C7">
            <wp:extent cx="6858000" cy="617855"/>
            <wp:effectExtent l="0" t="0" r="0" b="0"/>
            <wp:docPr id="2" name="Picture 2" descr="Banner that says VDOE Region 4 Training and Technical Assistance Center George Mas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nner that says VDOE Region 4 Training and Technical Assistance Center George Mason Univers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565B6" w14:textId="77777777" w:rsidR="001C3463" w:rsidRDefault="001C3463" w:rsidP="001C3463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05195FC6" w14:textId="54A3E7EE" w:rsidR="006C5183" w:rsidRPr="001C3463" w:rsidRDefault="006C5183" w:rsidP="001C3463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C3463">
        <w:rPr>
          <w:rFonts w:ascii="Arial" w:hAnsi="Arial" w:cs="Arial"/>
          <w:b/>
          <w:color w:val="auto"/>
          <w:sz w:val="28"/>
          <w:szCs w:val="28"/>
        </w:rPr>
        <w:t>HLP Highlight Tool</w:t>
      </w:r>
    </w:p>
    <w:p w14:paraId="57E16F35" w14:textId="0692A9ED" w:rsidR="00451CD1" w:rsidRPr="001C3463" w:rsidRDefault="00451CD1" w:rsidP="001C3463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C3463">
        <w:rPr>
          <w:rFonts w:ascii="Arial" w:hAnsi="Arial" w:cs="Arial"/>
          <w:b/>
          <w:color w:val="auto"/>
          <w:sz w:val="28"/>
          <w:szCs w:val="28"/>
        </w:rPr>
        <w:t>HLP 11: Identity and Prioritize Long- and Short-Term Goals</w:t>
      </w:r>
    </w:p>
    <w:p w14:paraId="0BDBDA0C" w14:textId="4B4902FD" w:rsidR="002F5EE5" w:rsidRPr="002F5EE5" w:rsidRDefault="002F5EE5" w:rsidP="002F5E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Embedded under Data-Driven Planning (HLP 6)</w:t>
      </w:r>
    </w:p>
    <w:p w14:paraId="632D647B" w14:textId="57899A1E" w:rsidR="006C5183" w:rsidRPr="005777C8" w:rsidRDefault="006C5183" w:rsidP="001C3463">
      <w:pPr>
        <w:pStyle w:val="Heading2"/>
      </w:pPr>
      <w:r w:rsidRPr="72A272CF">
        <w:t>Here’s What It Is:</w:t>
      </w:r>
    </w:p>
    <w:p w14:paraId="0A9C8C02" w14:textId="7CB98BAA" w:rsidR="006C5183" w:rsidRPr="005777C8" w:rsidRDefault="7E12479D" w:rsidP="72A272CF">
      <w:pPr>
        <w:rPr>
          <w:rFonts w:ascii="Arial" w:eastAsia="Arial" w:hAnsi="Arial" w:cs="Arial"/>
          <w:sz w:val="24"/>
          <w:szCs w:val="24"/>
        </w:rPr>
      </w:pPr>
      <w:r w:rsidRPr="72A272CF">
        <w:rPr>
          <w:rFonts w:ascii="Arial" w:eastAsia="Arial" w:hAnsi="Arial" w:cs="Arial"/>
          <w:sz w:val="24"/>
          <w:szCs w:val="24"/>
        </w:rPr>
        <w:t xml:space="preserve">Identifying long- and short-term learning goals is a process that begins </w:t>
      </w:r>
      <w:r w:rsidR="15CED766" w:rsidRPr="72A272CF">
        <w:rPr>
          <w:rFonts w:ascii="Arial" w:eastAsia="Arial" w:hAnsi="Arial" w:cs="Arial"/>
          <w:sz w:val="24"/>
          <w:szCs w:val="24"/>
        </w:rPr>
        <w:t>by</w:t>
      </w:r>
      <w:r w:rsidR="075AE201" w:rsidRPr="72A272CF">
        <w:rPr>
          <w:rFonts w:ascii="Arial" w:eastAsia="Arial" w:hAnsi="Arial" w:cs="Arial"/>
          <w:sz w:val="24"/>
          <w:szCs w:val="24"/>
        </w:rPr>
        <w:t xml:space="preserve"> unpacking</w:t>
      </w:r>
      <w:r w:rsidRPr="72A272CF">
        <w:rPr>
          <w:rFonts w:ascii="Arial" w:eastAsia="Arial" w:hAnsi="Arial" w:cs="Arial"/>
          <w:sz w:val="24"/>
          <w:szCs w:val="24"/>
        </w:rPr>
        <w:t xml:space="preserve"> grade-level content standards. </w:t>
      </w:r>
      <w:r w:rsidR="144A94C6" w:rsidRPr="72A272CF">
        <w:rPr>
          <w:rFonts w:ascii="Arial" w:eastAsia="Arial" w:hAnsi="Arial" w:cs="Arial"/>
          <w:sz w:val="24"/>
          <w:szCs w:val="24"/>
        </w:rPr>
        <w:t>First, t</w:t>
      </w:r>
      <w:r w:rsidR="243ACCCB" w:rsidRPr="72A272CF">
        <w:rPr>
          <w:rFonts w:ascii="Arial" w:eastAsia="Arial" w:hAnsi="Arial" w:cs="Arial"/>
          <w:sz w:val="24"/>
          <w:szCs w:val="24"/>
        </w:rPr>
        <w:t xml:space="preserve">eachers </w:t>
      </w:r>
      <w:r w:rsidR="30295628" w:rsidRPr="72A272CF">
        <w:rPr>
          <w:rFonts w:ascii="Arial" w:eastAsia="Arial" w:hAnsi="Arial" w:cs="Arial"/>
          <w:sz w:val="24"/>
          <w:szCs w:val="24"/>
        </w:rPr>
        <w:t>analyze</w:t>
      </w:r>
      <w:r w:rsidR="4A369A42" w:rsidRPr="72A272CF">
        <w:rPr>
          <w:rFonts w:ascii="Arial" w:eastAsia="Arial" w:hAnsi="Arial" w:cs="Arial"/>
          <w:sz w:val="24"/>
          <w:szCs w:val="24"/>
        </w:rPr>
        <w:t xml:space="preserve"> </w:t>
      </w:r>
      <w:r w:rsidR="243ACCCB" w:rsidRPr="72A272CF">
        <w:rPr>
          <w:rFonts w:ascii="Arial" w:eastAsia="Arial" w:hAnsi="Arial" w:cs="Arial"/>
          <w:sz w:val="24"/>
          <w:szCs w:val="24"/>
        </w:rPr>
        <w:t>grade-level content area standards to identify the m</w:t>
      </w:r>
      <w:r w:rsidR="2B102BD9" w:rsidRPr="72A272CF">
        <w:rPr>
          <w:rFonts w:ascii="Arial" w:eastAsia="Arial" w:hAnsi="Arial" w:cs="Arial"/>
          <w:sz w:val="24"/>
          <w:szCs w:val="24"/>
        </w:rPr>
        <w:t xml:space="preserve">ost essential knowledge standards and related prerequisite skills to teach. </w:t>
      </w:r>
      <w:r w:rsidR="387CD98F" w:rsidRPr="72A272CF">
        <w:rPr>
          <w:rFonts w:ascii="Arial" w:eastAsia="Arial" w:hAnsi="Arial" w:cs="Arial"/>
          <w:sz w:val="24"/>
          <w:szCs w:val="24"/>
        </w:rPr>
        <w:t>T</w:t>
      </w:r>
      <w:r w:rsidR="2B945DFB" w:rsidRPr="72A272CF">
        <w:rPr>
          <w:rFonts w:ascii="Arial" w:eastAsia="Arial" w:hAnsi="Arial" w:cs="Arial"/>
          <w:sz w:val="24"/>
          <w:szCs w:val="24"/>
        </w:rPr>
        <w:t>eachers</w:t>
      </w:r>
      <w:r w:rsidR="3D42BB1F" w:rsidRPr="72A272CF">
        <w:rPr>
          <w:rFonts w:ascii="Arial" w:eastAsia="Arial" w:hAnsi="Arial" w:cs="Arial"/>
          <w:sz w:val="24"/>
          <w:szCs w:val="24"/>
        </w:rPr>
        <w:t xml:space="preserve"> </w:t>
      </w:r>
      <w:r w:rsidR="7977208B" w:rsidRPr="72A272CF">
        <w:rPr>
          <w:rFonts w:ascii="Arial" w:eastAsia="Arial" w:hAnsi="Arial" w:cs="Arial"/>
          <w:sz w:val="24"/>
          <w:szCs w:val="24"/>
        </w:rPr>
        <w:t xml:space="preserve">then </w:t>
      </w:r>
      <w:r w:rsidR="0F5292C9" w:rsidRPr="72A272CF">
        <w:rPr>
          <w:rFonts w:ascii="Arial" w:eastAsia="Arial" w:hAnsi="Arial" w:cs="Arial"/>
          <w:sz w:val="24"/>
          <w:szCs w:val="24"/>
        </w:rPr>
        <w:t xml:space="preserve">examine students’ </w:t>
      </w:r>
      <w:r w:rsidR="26E3542F" w:rsidRPr="72A272CF">
        <w:rPr>
          <w:rFonts w:ascii="Arial" w:eastAsia="Arial" w:hAnsi="Arial" w:cs="Arial"/>
          <w:sz w:val="24"/>
          <w:szCs w:val="24"/>
        </w:rPr>
        <w:t xml:space="preserve">baseline data, </w:t>
      </w:r>
      <w:r w:rsidR="0F5292C9" w:rsidRPr="72A272CF">
        <w:rPr>
          <w:rFonts w:ascii="Arial" w:eastAsia="Arial" w:hAnsi="Arial" w:cs="Arial"/>
          <w:sz w:val="24"/>
          <w:szCs w:val="24"/>
        </w:rPr>
        <w:t xml:space="preserve">knowledge of essential prerequisite skills related to the standard, </w:t>
      </w:r>
      <w:r w:rsidR="14A84B03" w:rsidRPr="72A272CF">
        <w:rPr>
          <w:rFonts w:ascii="Arial" w:eastAsia="Arial" w:hAnsi="Arial" w:cs="Arial"/>
          <w:sz w:val="24"/>
          <w:szCs w:val="24"/>
        </w:rPr>
        <w:t>and pre-assessment data to systematically design instruction toward learning goals</w:t>
      </w:r>
      <w:r w:rsidR="593F3EBA" w:rsidRPr="72A272CF">
        <w:rPr>
          <w:rFonts w:ascii="Arial" w:eastAsia="Arial" w:hAnsi="Arial" w:cs="Arial"/>
          <w:sz w:val="24"/>
          <w:szCs w:val="24"/>
        </w:rPr>
        <w:t xml:space="preserve"> with sequenced lessons</w:t>
      </w:r>
      <w:r w:rsidR="14A84B03" w:rsidRPr="72A272CF">
        <w:rPr>
          <w:rFonts w:ascii="Arial" w:eastAsia="Arial" w:hAnsi="Arial" w:cs="Arial"/>
          <w:sz w:val="24"/>
          <w:szCs w:val="24"/>
        </w:rPr>
        <w:t>.</w:t>
      </w:r>
      <w:r w:rsidR="3891B153" w:rsidRPr="72A272CF">
        <w:rPr>
          <w:rFonts w:ascii="Arial" w:eastAsia="Arial" w:hAnsi="Arial" w:cs="Arial"/>
          <w:sz w:val="24"/>
          <w:szCs w:val="24"/>
        </w:rPr>
        <w:t xml:space="preserve"> </w:t>
      </w:r>
      <w:r w:rsidR="3D526FDC" w:rsidRPr="72A272CF">
        <w:rPr>
          <w:rFonts w:ascii="Arial" w:eastAsia="Arial" w:hAnsi="Arial" w:cs="Arial"/>
          <w:sz w:val="24"/>
          <w:szCs w:val="24"/>
        </w:rPr>
        <w:t xml:space="preserve">Learning goals consider </w:t>
      </w:r>
      <w:r w:rsidR="5C206466" w:rsidRPr="72A272CF">
        <w:rPr>
          <w:rFonts w:ascii="Arial" w:eastAsia="Arial" w:hAnsi="Arial" w:cs="Arial"/>
          <w:sz w:val="24"/>
          <w:szCs w:val="24"/>
        </w:rPr>
        <w:t>students</w:t>
      </w:r>
      <w:r w:rsidR="4B6C326C" w:rsidRPr="72A272CF">
        <w:rPr>
          <w:rFonts w:ascii="Arial" w:eastAsia="Arial" w:hAnsi="Arial" w:cs="Arial"/>
          <w:sz w:val="24"/>
          <w:szCs w:val="24"/>
        </w:rPr>
        <w:t>’</w:t>
      </w:r>
      <w:r w:rsidR="5C206466" w:rsidRPr="72A272CF">
        <w:rPr>
          <w:rFonts w:ascii="Arial" w:eastAsia="Arial" w:hAnsi="Arial" w:cs="Arial"/>
          <w:sz w:val="24"/>
          <w:szCs w:val="24"/>
        </w:rPr>
        <w:t xml:space="preserve"> prior knowledge and </w:t>
      </w:r>
      <w:r w:rsidR="77618693" w:rsidRPr="72A272CF">
        <w:rPr>
          <w:rFonts w:ascii="Arial" w:eastAsia="Arial" w:hAnsi="Arial" w:cs="Arial"/>
          <w:sz w:val="24"/>
          <w:szCs w:val="24"/>
        </w:rPr>
        <w:t xml:space="preserve">any </w:t>
      </w:r>
      <w:r w:rsidR="5C206466" w:rsidRPr="72A272CF">
        <w:rPr>
          <w:rFonts w:ascii="Arial" w:eastAsia="Arial" w:hAnsi="Arial" w:cs="Arial"/>
          <w:sz w:val="24"/>
          <w:szCs w:val="24"/>
        </w:rPr>
        <w:t xml:space="preserve">IEP goals related to the standard. </w:t>
      </w:r>
      <w:r w:rsidR="270E443E" w:rsidRPr="72A272CF">
        <w:rPr>
          <w:rFonts w:ascii="Arial" w:eastAsia="Arial" w:hAnsi="Arial" w:cs="Arial"/>
          <w:sz w:val="24"/>
          <w:szCs w:val="24"/>
        </w:rPr>
        <w:t xml:space="preserve">Special education teachers use information from students’ IEPs to create </w:t>
      </w:r>
      <w:r w:rsidR="1DF1783D" w:rsidRPr="72A272CF">
        <w:rPr>
          <w:rFonts w:ascii="Arial" w:eastAsia="Arial" w:hAnsi="Arial" w:cs="Arial"/>
          <w:sz w:val="24"/>
          <w:szCs w:val="24"/>
        </w:rPr>
        <w:t xml:space="preserve">long- and short-term </w:t>
      </w:r>
      <w:r w:rsidR="270E443E" w:rsidRPr="72A272CF">
        <w:rPr>
          <w:rFonts w:ascii="Arial" w:eastAsia="Arial" w:hAnsi="Arial" w:cs="Arial"/>
          <w:sz w:val="24"/>
          <w:szCs w:val="24"/>
        </w:rPr>
        <w:t xml:space="preserve">learning goals for specially designed instruction to </w:t>
      </w:r>
      <w:r w:rsidR="21A1D904" w:rsidRPr="72A272CF">
        <w:rPr>
          <w:rFonts w:ascii="Arial" w:eastAsia="Arial" w:hAnsi="Arial" w:cs="Arial"/>
          <w:sz w:val="24"/>
          <w:szCs w:val="24"/>
        </w:rPr>
        <w:t>provide</w:t>
      </w:r>
      <w:r w:rsidR="71FC2415" w:rsidRPr="72A272CF">
        <w:rPr>
          <w:rFonts w:ascii="Arial" w:eastAsia="Arial" w:hAnsi="Arial" w:cs="Arial"/>
          <w:sz w:val="24"/>
          <w:szCs w:val="24"/>
        </w:rPr>
        <w:t xml:space="preserve"> </w:t>
      </w:r>
      <w:r w:rsidR="4924C579" w:rsidRPr="72A272CF">
        <w:rPr>
          <w:rFonts w:ascii="Arial" w:eastAsia="Arial" w:hAnsi="Arial" w:cs="Arial"/>
          <w:sz w:val="24"/>
          <w:szCs w:val="24"/>
        </w:rPr>
        <w:t>access to</w:t>
      </w:r>
      <w:r w:rsidR="424F666B" w:rsidRPr="72A272CF">
        <w:rPr>
          <w:rFonts w:ascii="Arial" w:eastAsia="Arial" w:hAnsi="Arial" w:cs="Arial"/>
          <w:sz w:val="24"/>
          <w:szCs w:val="24"/>
        </w:rPr>
        <w:t xml:space="preserve"> the general education curriculum and achieve IEP goals. </w:t>
      </w:r>
      <w:r w:rsidR="2690AE94" w:rsidRPr="72A272CF">
        <w:rPr>
          <w:rFonts w:ascii="Arial" w:eastAsia="Arial" w:hAnsi="Arial" w:cs="Arial"/>
          <w:sz w:val="24"/>
          <w:szCs w:val="24"/>
        </w:rPr>
        <w:t>For co-teachers, this process is done collaboratively.</w:t>
      </w:r>
    </w:p>
    <w:p w14:paraId="3BB35921" w14:textId="2C57E1A6" w:rsidR="006C5183" w:rsidRPr="005777C8" w:rsidRDefault="7B87E062" w:rsidP="72A272CF">
      <w:pPr>
        <w:rPr>
          <w:rFonts w:ascii="Arial" w:hAnsi="Arial" w:cs="Arial"/>
          <w:sz w:val="24"/>
          <w:szCs w:val="24"/>
        </w:rPr>
      </w:pPr>
      <w:r w:rsidRPr="72A272CF">
        <w:rPr>
          <w:rFonts w:ascii="Arial" w:eastAsia="Arial" w:hAnsi="Arial" w:cs="Arial"/>
          <w:sz w:val="24"/>
          <w:szCs w:val="24"/>
        </w:rPr>
        <w:t xml:space="preserve">Tools:  </w:t>
      </w:r>
      <w:hyperlink r:id="rId12">
        <w:r w:rsidRPr="72A272CF">
          <w:rPr>
            <w:rStyle w:val="Hyperlink"/>
            <w:rFonts w:ascii="Arial" w:hAnsi="Arial" w:cs="Arial"/>
            <w:sz w:val="24"/>
            <w:szCs w:val="24"/>
          </w:rPr>
          <w:t>HLP 11 Rubric</w:t>
        </w:r>
      </w:hyperlink>
      <w:r w:rsidR="001C3463" w:rsidRPr="001C3463"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="001C3463">
        <w:rPr>
          <w:rStyle w:val="Hyperlink"/>
          <w:rFonts w:ascii="Arial" w:hAnsi="Arial" w:cs="Arial"/>
          <w:sz w:val="24"/>
          <w:szCs w:val="24"/>
          <w:u w:val="none"/>
        </w:rPr>
        <w:tab/>
      </w:r>
      <w:hyperlink r:id="rId13">
        <w:r w:rsidR="0CE3555D" w:rsidRPr="72A272CF">
          <w:rPr>
            <w:rStyle w:val="Hyperlink"/>
            <w:rFonts w:ascii="Arial" w:hAnsi="Arial" w:cs="Arial"/>
            <w:sz w:val="24"/>
            <w:szCs w:val="24"/>
          </w:rPr>
          <w:t>HLP 11 Checklist</w:t>
        </w:r>
      </w:hyperlink>
    </w:p>
    <w:p w14:paraId="2310C727" w14:textId="0CEBAF35" w:rsidR="006C5183" w:rsidRPr="005777C8" w:rsidRDefault="00455F63" w:rsidP="001C3463">
      <w:pPr>
        <w:pStyle w:val="Heading2"/>
      </w:pPr>
      <w:r w:rsidRPr="72A272CF">
        <w:t>Here’s When to Use It:</w:t>
      </w:r>
    </w:p>
    <w:p w14:paraId="17E2D696" w14:textId="7B0D2F7D" w:rsidR="20574931" w:rsidRDefault="20574931" w:rsidP="72A272CF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72A272CF">
        <w:rPr>
          <w:rFonts w:ascii="Arial" w:hAnsi="Arial" w:cs="Arial"/>
          <w:sz w:val="24"/>
          <w:szCs w:val="24"/>
        </w:rPr>
        <w:t>When planning instruction</w:t>
      </w:r>
      <w:r w:rsidR="377C8946" w:rsidRPr="72A272CF">
        <w:rPr>
          <w:rFonts w:ascii="Arial" w:hAnsi="Arial" w:cs="Arial"/>
          <w:sz w:val="24"/>
          <w:szCs w:val="24"/>
        </w:rPr>
        <w:t xml:space="preserve"> in </w:t>
      </w:r>
      <w:r w:rsidR="377C8946" w:rsidRPr="72A272CF">
        <w:rPr>
          <w:rFonts w:ascii="Arial" w:hAnsi="Arial" w:cs="Arial"/>
          <w:i/>
          <w:iCs/>
          <w:sz w:val="24"/>
          <w:szCs w:val="24"/>
        </w:rPr>
        <w:t xml:space="preserve">all </w:t>
      </w:r>
      <w:r w:rsidR="377C8946" w:rsidRPr="72A272CF">
        <w:rPr>
          <w:rFonts w:ascii="Arial" w:hAnsi="Arial" w:cs="Arial"/>
          <w:sz w:val="24"/>
          <w:szCs w:val="24"/>
        </w:rPr>
        <w:t>learning environments</w:t>
      </w:r>
      <w:r w:rsidRPr="72A272CF">
        <w:rPr>
          <w:rFonts w:ascii="Arial" w:hAnsi="Arial" w:cs="Arial"/>
          <w:sz w:val="24"/>
          <w:szCs w:val="24"/>
        </w:rPr>
        <w:t>.</w:t>
      </w:r>
    </w:p>
    <w:p w14:paraId="29948359" w14:textId="4935EBAD" w:rsidR="43499195" w:rsidRDefault="43499195" w:rsidP="72A272CF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72A272CF">
        <w:rPr>
          <w:rFonts w:ascii="Arial" w:hAnsi="Arial" w:cs="Arial"/>
          <w:sz w:val="24"/>
          <w:szCs w:val="24"/>
        </w:rPr>
        <w:t xml:space="preserve">When planning specially designed instruction toward IEP goals. </w:t>
      </w:r>
    </w:p>
    <w:p w14:paraId="4C5667E3" w14:textId="7AC37B6E" w:rsidR="00046015" w:rsidRPr="005777C8" w:rsidRDefault="0043004D" w:rsidP="0004601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72A272CF">
        <w:rPr>
          <w:rFonts w:ascii="Arial" w:hAnsi="Arial" w:cs="Arial"/>
          <w:sz w:val="24"/>
          <w:szCs w:val="24"/>
        </w:rPr>
        <w:t xml:space="preserve">When planning </w:t>
      </w:r>
      <w:r w:rsidR="00081E40" w:rsidRPr="72A272CF">
        <w:rPr>
          <w:rFonts w:ascii="Arial" w:hAnsi="Arial" w:cs="Arial"/>
          <w:sz w:val="24"/>
          <w:szCs w:val="24"/>
        </w:rPr>
        <w:t>for data-based individualization</w:t>
      </w:r>
      <w:r w:rsidR="3A058795" w:rsidRPr="72A272CF">
        <w:rPr>
          <w:rFonts w:ascii="Arial" w:hAnsi="Arial" w:cs="Arial"/>
          <w:sz w:val="24"/>
          <w:szCs w:val="24"/>
        </w:rPr>
        <w:t xml:space="preserve"> (DBI).</w:t>
      </w:r>
    </w:p>
    <w:p w14:paraId="71057143" w14:textId="790078E9" w:rsidR="006C5183" w:rsidRPr="005777C8" w:rsidRDefault="006C5183" w:rsidP="001C3463">
      <w:pPr>
        <w:pStyle w:val="Heading2"/>
      </w:pPr>
      <w:r w:rsidRPr="72A272CF">
        <w:t>Here’s What It Looks Like:</w:t>
      </w:r>
    </w:p>
    <w:p w14:paraId="736C4660" w14:textId="3E1B4B04" w:rsidR="00650473" w:rsidRPr="005777C8" w:rsidRDefault="0014157F" w:rsidP="00916709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hyperlink r:id="rId14">
        <w:r w:rsidR="517A963C" w:rsidRPr="72A272CF">
          <w:rPr>
            <w:rStyle w:val="Hyperlink"/>
            <w:rFonts w:ascii="Arial" w:hAnsi="Arial" w:cs="Arial"/>
            <w:sz w:val="24"/>
            <w:szCs w:val="24"/>
          </w:rPr>
          <w:t xml:space="preserve">HLP </w:t>
        </w:r>
        <w:r w:rsidR="4CB96D62" w:rsidRPr="72A272CF">
          <w:rPr>
            <w:rStyle w:val="Hyperlink"/>
            <w:rFonts w:ascii="Arial" w:hAnsi="Arial" w:cs="Arial"/>
            <w:sz w:val="24"/>
            <w:szCs w:val="24"/>
          </w:rPr>
          <w:t>11 Video</w:t>
        </w:r>
      </w:hyperlink>
      <w:r w:rsidR="1999854C" w:rsidRPr="72A272CF">
        <w:rPr>
          <w:rFonts w:ascii="Arial" w:hAnsi="Arial" w:cs="Arial"/>
          <w:sz w:val="24"/>
          <w:szCs w:val="24"/>
        </w:rPr>
        <w:t xml:space="preserve"> </w:t>
      </w:r>
      <w:r w:rsidR="517A963C" w:rsidRPr="72A272CF">
        <w:rPr>
          <w:rFonts w:ascii="Arial" w:hAnsi="Arial" w:cs="Arial"/>
          <w:sz w:val="24"/>
          <w:szCs w:val="24"/>
        </w:rPr>
        <w:t xml:space="preserve"> (</w:t>
      </w:r>
      <w:r w:rsidR="600DCEE9" w:rsidRPr="72A272CF">
        <w:rPr>
          <w:rFonts w:ascii="Arial" w:hAnsi="Arial" w:cs="Arial"/>
          <w:sz w:val="24"/>
          <w:szCs w:val="24"/>
        </w:rPr>
        <w:t>18:51</w:t>
      </w:r>
      <w:r w:rsidR="517A963C" w:rsidRPr="72A272CF">
        <w:rPr>
          <w:rFonts w:ascii="Arial" w:hAnsi="Arial" w:cs="Arial"/>
          <w:sz w:val="24"/>
          <w:szCs w:val="24"/>
        </w:rPr>
        <w:t>)</w:t>
      </w:r>
    </w:p>
    <w:p w14:paraId="58705DA5" w14:textId="4C61CA6D" w:rsidR="00B71977" w:rsidRPr="005777C8" w:rsidRDefault="00B71977" w:rsidP="001C3463">
      <w:pPr>
        <w:pStyle w:val="Heading2"/>
      </w:pPr>
      <w:r w:rsidRPr="4E474F91">
        <w:t>Resources to Extend Learning</w:t>
      </w:r>
    </w:p>
    <w:p w14:paraId="7C9092EC" w14:textId="15FC8D1C" w:rsidR="00916709" w:rsidRPr="005777C8" w:rsidRDefault="0014157F" w:rsidP="00F05B31">
      <w:pPr>
        <w:pStyle w:val="ListParagraph"/>
        <w:numPr>
          <w:ilvl w:val="0"/>
          <w:numId w:val="41"/>
        </w:num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15" w:history="1">
        <w:r w:rsidR="00916709" w:rsidRPr="005777C8">
          <w:rPr>
            <w:rStyle w:val="Hyperlink"/>
            <w:rFonts w:ascii="Arial" w:hAnsi="Arial" w:cs="Arial"/>
            <w:sz w:val="24"/>
            <w:szCs w:val="24"/>
          </w:rPr>
          <w:t>National Center on Intensive Interventions</w:t>
        </w:r>
      </w:hyperlink>
    </w:p>
    <w:p w14:paraId="56BC4A49" w14:textId="440944AD" w:rsidR="008E0B7A" w:rsidRPr="005777C8" w:rsidRDefault="0014157F" w:rsidP="00F05B31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hyperlink r:id="rId16">
        <w:r w:rsidR="00650473" w:rsidRPr="72A272CF">
          <w:rPr>
            <w:rStyle w:val="Hyperlink"/>
            <w:rFonts w:ascii="Arial" w:hAnsi="Arial" w:cs="Arial"/>
            <w:sz w:val="24"/>
            <w:szCs w:val="24"/>
          </w:rPr>
          <w:t>The Iris Center</w:t>
        </w:r>
        <w:r w:rsidR="008E0B7A" w:rsidRPr="72A272C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  <w:r w:rsidR="008E0B7A" w:rsidRPr="72A272CF">
        <w:rPr>
          <w:rFonts w:ascii="Arial" w:hAnsi="Arial" w:cs="Arial"/>
          <w:sz w:val="24"/>
          <w:szCs w:val="24"/>
        </w:rPr>
        <w:t xml:space="preserve"> </w:t>
      </w:r>
    </w:p>
    <w:p w14:paraId="5B573188" w14:textId="1D1F4E86" w:rsidR="008E0B7A" w:rsidRPr="005777C8" w:rsidRDefault="0014157F" w:rsidP="00F05B31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hyperlink r:id="rId17">
        <w:r w:rsidR="175B2B07" w:rsidRPr="72A272CF">
          <w:rPr>
            <w:rStyle w:val="Hyperlink"/>
            <w:rFonts w:ascii="Arial" w:hAnsi="Arial" w:cs="Arial"/>
            <w:sz w:val="24"/>
            <w:szCs w:val="24"/>
          </w:rPr>
          <w:t>High Leverage Practices</w:t>
        </w:r>
      </w:hyperlink>
    </w:p>
    <w:p w14:paraId="3AACC21D" w14:textId="0AB25200" w:rsidR="005777C8" w:rsidRPr="005777C8" w:rsidRDefault="0014157F" w:rsidP="007D28D5">
      <w:pPr>
        <w:pStyle w:val="ListParagraph"/>
        <w:numPr>
          <w:ilvl w:val="0"/>
          <w:numId w:val="41"/>
        </w:numPr>
        <w:spacing w:line="360" w:lineRule="auto"/>
        <w:rPr>
          <w:rFonts w:ascii="Arial" w:eastAsia="Arial" w:hAnsi="Arial" w:cs="Arial"/>
          <w:sz w:val="24"/>
          <w:szCs w:val="24"/>
        </w:rPr>
      </w:pPr>
      <w:hyperlink r:id="rId18">
        <w:r w:rsidR="6E4B6664" w:rsidRPr="72A272CF">
          <w:rPr>
            <w:rStyle w:val="Hyperlink"/>
            <w:rFonts w:ascii="Arial" w:eastAsia="Arial" w:hAnsi="Arial" w:cs="Arial"/>
            <w:sz w:val="24"/>
            <w:szCs w:val="24"/>
          </w:rPr>
          <w:t>I'm Determined Goal Plan</w:t>
        </w:r>
      </w:hyperlink>
    </w:p>
    <w:p w14:paraId="48F361E0" w14:textId="6C5C7E2F" w:rsidR="005777C8" w:rsidRPr="005777C8" w:rsidRDefault="005777C8" w:rsidP="007D28D5">
      <w:pPr>
        <w:pStyle w:val="Heading2"/>
        <w:spacing w:after="0"/>
      </w:pPr>
      <w:r w:rsidRPr="72A272CF">
        <w:t xml:space="preserve">Find additional HLP Highlight Tools on </w:t>
      </w:r>
      <w:hyperlink r:id="rId19">
        <w:r w:rsidRPr="72A272CF">
          <w:rPr>
            <w:rStyle w:val="Hyperlink"/>
          </w:rPr>
          <w:t>TTAC Online</w:t>
        </w:r>
      </w:hyperlink>
      <w:r w:rsidRPr="72A272CF">
        <w:t>.</w:t>
      </w:r>
    </w:p>
    <w:p w14:paraId="3BFEB999" w14:textId="77777777" w:rsidR="005777C8" w:rsidRPr="005777C8" w:rsidRDefault="005777C8" w:rsidP="005777C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777C8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20" w:history="1">
        <w:r w:rsidRPr="005777C8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5777C8">
        <w:rPr>
          <w:rFonts w:ascii="Arial" w:hAnsi="Arial" w:cs="Arial"/>
          <w:sz w:val="24"/>
          <w:szCs w:val="24"/>
        </w:rPr>
        <w:t>.</w:t>
      </w:r>
    </w:p>
    <w:p w14:paraId="76D031B0" w14:textId="77777777" w:rsidR="005777C8" w:rsidRPr="00256D9C" w:rsidRDefault="005777C8" w:rsidP="00256D9C">
      <w:pPr>
        <w:pStyle w:val="Heading2"/>
      </w:pPr>
      <w:bookmarkStart w:id="0" w:name="_GoBack"/>
      <w:bookmarkEnd w:id="0"/>
      <w:r w:rsidRPr="00256D9C">
        <w:t>References</w:t>
      </w:r>
    </w:p>
    <w:p w14:paraId="2C0F2BB8" w14:textId="4F472CEF" w:rsidR="005777C8" w:rsidRPr="001C3463" w:rsidRDefault="005777C8" w:rsidP="008F5500">
      <w:pPr>
        <w:widowControl w:val="0"/>
        <w:spacing w:after="0" w:line="240" w:lineRule="auto"/>
        <w:ind w:left="720" w:hanging="720"/>
        <w:rPr>
          <w:rFonts w:ascii="Arial" w:eastAsia="Arial" w:hAnsi="Arial" w:cs="Arial"/>
        </w:rPr>
      </w:pPr>
      <w:r w:rsidRPr="001C3463">
        <w:rPr>
          <w:rFonts w:ascii="Arial" w:eastAsia="Arial" w:hAnsi="Arial" w:cs="Arial"/>
        </w:rPr>
        <w:t>Aceves, T. C.</w:t>
      </w:r>
      <w:r w:rsidR="001C3463" w:rsidRPr="001C3463">
        <w:rPr>
          <w:rFonts w:ascii="Arial" w:eastAsia="Arial" w:hAnsi="Arial" w:cs="Arial"/>
        </w:rPr>
        <w:t xml:space="preserve">, &amp; </w:t>
      </w:r>
      <w:r w:rsidRPr="001C3463">
        <w:rPr>
          <w:rFonts w:ascii="Arial" w:eastAsia="Arial" w:hAnsi="Arial" w:cs="Arial"/>
        </w:rPr>
        <w:t xml:space="preserve">Kennedy, M. J. (Eds.) (2024, February). </w:t>
      </w:r>
      <w:r w:rsidRPr="001C3463">
        <w:rPr>
          <w:rFonts w:ascii="Arial" w:eastAsia="Arial" w:hAnsi="Arial" w:cs="Arial"/>
          <w:i/>
          <w:iCs/>
        </w:rPr>
        <w:t xml:space="preserve">High-leverage practices for students with disabilities. </w:t>
      </w:r>
      <w:r w:rsidRPr="001C3463">
        <w:rPr>
          <w:rFonts w:ascii="Arial" w:eastAsia="Arial" w:hAnsi="Arial" w:cs="Arial"/>
        </w:rPr>
        <w:t>2</w:t>
      </w:r>
      <w:r w:rsidRPr="001C3463">
        <w:rPr>
          <w:rFonts w:ascii="Arial" w:eastAsia="Arial" w:hAnsi="Arial" w:cs="Arial"/>
          <w:vertAlign w:val="superscript"/>
        </w:rPr>
        <w:t>nd</w:t>
      </w:r>
      <w:r w:rsidRPr="001C3463">
        <w:rPr>
          <w:rFonts w:ascii="Arial" w:eastAsia="Arial" w:hAnsi="Arial" w:cs="Arial"/>
        </w:rPr>
        <w:t xml:space="preserve"> edition. Arlington, VA: Council for Exceptional Children and CEEDAR Center.</w:t>
      </w:r>
    </w:p>
    <w:p w14:paraId="576B351F" w14:textId="2E68A2A1" w:rsidR="34502C2C" w:rsidRPr="001C3463" w:rsidRDefault="34502C2C" w:rsidP="008F5500">
      <w:pPr>
        <w:widowControl w:val="0"/>
        <w:spacing w:after="0" w:line="240" w:lineRule="auto"/>
        <w:ind w:left="720" w:hanging="720"/>
        <w:rPr>
          <w:rFonts w:ascii="Arial" w:hAnsi="Arial" w:cs="Arial"/>
        </w:rPr>
      </w:pPr>
      <w:r w:rsidRPr="001C3463">
        <w:rPr>
          <w:rFonts w:ascii="Arial" w:eastAsia="Arial" w:hAnsi="Arial" w:cs="Arial"/>
          <w:color w:val="131313"/>
        </w:rPr>
        <w:t xml:space="preserve">Bailey, T., Kennedy, M. J., </w:t>
      </w:r>
      <w:r w:rsidR="00D63648">
        <w:rPr>
          <w:rFonts w:ascii="Arial" w:eastAsia="Arial" w:hAnsi="Arial" w:cs="Arial"/>
          <w:color w:val="131313"/>
        </w:rPr>
        <w:t xml:space="preserve">&amp; </w:t>
      </w:r>
      <w:r w:rsidRPr="001C3463">
        <w:rPr>
          <w:rFonts w:ascii="Arial" w:eastAsia="Arial" w:hAnsi="Arial" w:cs="Arial"/>
          <w:color w:val="131313"/>
        </w:rPr>
        <w:t xml:space="preserve">Jackson, D. High leverage practice #11: Identify and Prioritize Long- and Short-Term Learning Goals. </w:t>
      </w:r>
      <w:hyperlink r:id="rId21" w:history="1">
        <w:r w:rsidR="001C3463" w:rsidRPr="001C3463">
          <w:rPr>
            <w:rStyle w:val="Hyperlink"/>
            <w:rFonts w:ascii="Arial" w:hAnsi="Arial" w:cs="Arial"/>
          </w:rPr>
          <w:t>https://highleveragepractices.org/hlp-11-goal-setting</w:t>
        </w:r>
      </w:hyperlink>
    </w:p>
    <w:p w14:paraId="7C830212" w14:textId="6B782F21" w:rsidR="005777C8" w:rsidRPr="001C3463" w:rsidRDefault="00E21E44" w:rsidP="72A272CF">
      <w:pPr>
        <w:rPr>
          <w:rFonts w:ascii="Arial" w:eastAsia="Arial" w:hAnsi="Arial" w:cs="Arial"/>
        </w:rPr>
      </w:pPr>
      <w:proofErr w:type="spellStart"/>
      <w:r w:rsidRPr="001C3463">
        <w:rPr>
          <w:rFonts w:ascii="Arial" w:eastAsia="Arial" w:hAnsi="Arial" w:cs="Arial"/>
        </w:rPr>
        <w:t>McLeskey</w:t>
      </w:r>
      <w:proofErr w:type="spellEnd"/>
      <w:r w:rsidRPr="001C3463">
        <w:rPr>
          <w:rFonts w:ascii="Arial" w:eastAsia="Arial" w:hAnsi="Arial" w:cs="Arial"/>
        </w:rPr>
        <w:t xml:space="preserve">, J. (Ed.). (2019). </w:t>
      </w:r>
      <w:r w:rsidRPr="001C3463">
        <w:rPr>
          <w:rFonts w:ascii="Arial" w:eastAsia="Arial" w:hAnsi="Arial" w:cs="Arial"/>
          <w:i/>
          <w:iCs/>
        </w:rPr>
        <w:t>High leverage practices for inclusive classrooms</w:t>
      </w:r>
      <w:r w:rsidRPr="001C3463">
        <w:rPr>
          <w:rFonts w:ascii="Arial" w:eastAsia="Arial" w:hAnsi="Arial" w:cs="Arial"/>
        </w:rPr>
        <w:t>. New York: Routledge.</w:t>
      </w:r>
    </w:p>
    <w:sectPr w:rsidR="005777C8" w:rsidRPr="001C3463" w:rsidSect="001A59DB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7841D" w14:textId="77777777" w:rsidR="007165DE" w:rsidRDefault="007165DE" w:rsidP="006C5183">
      <w:pPr>
        <w:spacing w:after="0" w:line="240" w:lineRule="auto"/>
      </w:pPr>
      <w:r>
        <w:separator/>
      </w:r>
    </w:p>
  </w:endnote>
  <w:endnote w:type="continuationSeparator" w:id="0">
    <w:p w14:paraId="3166D718" w14:textId="77777777" w:rsidR="007165DE" w:rsidRDefault="007165DE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8E40A" w14:textId="41368A03" w:rsidR="00C473C9" w:rsidRDefault="00291594" w:rsidP="001A59DB">
    <w:pPr>
      <w:pStyle w:val="Footer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6459663C" wp14:editId="3876401B">
          <wp:extent cx="6256421" cy="317500"/>
          <wp:effectExtent l="0" t="0" r="0" b="635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3567" cy="31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9A368" w14:textId="77777777" w:rsidR="007165DE" w:rsidRDefault="007165DE" w:rsidP="006C5183">
      <w:pPr>
        <w:spacing w:after="0" w:line="240" w:lineRule="auto"/>
      </w:pPr>
      <w:r>
        <w:separator/>
      </w:r>
    </w:p>
  </w:footnote>
  <w:footnote w:type="continuationSeparator" w:id="0">
    <w:p w14:paraId="25A5699B" w14:textId="77777777" w:rsidR="007165DE" w:rsidRDefault="007165DE" w:rsidP="006C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39C"/>
    <w:multiLevelType w:val="hybridMultilevel"/>
    <w:tmpl w:val="9EFA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0803"/>
    <w:multiLevelType w:val="hybridMultilevel"/>
    <w:tmpl w:val="133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2844"/>
    <w:multiLevelType w:val="hybridMultilevel"/>
    <w:tmpl w:val="E164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1C6B"/>
    <w:multiLevelType w:val="hybridMultilevel"/>
    <w:tmpl w:val="2B7EEFEA"/>
    <w:lvl w:ilvl="0" w:tplc="2B2493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572DB7"/>
    <w:multiLevelType w:val="hybridMultilevel"/>
    <w:tmpl w:val="F88E2C9C"/>
    <w:lvl w:ilvl="0" w:tplc="E39C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01BA4"/>
    <w:multiLevelType w:val="hybridMultilevel"/>
    <w:tmpl w:val="4068401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51079"/>
    <w:multiLevelType w:val="hybridMultilevel"/>
    <w:tmpl w:val="68668C5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D6D2C"/>
    <w:multiLevelType w:val="hybridMultilevel"/>
    <w:tmpl w:val="24B24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3C4106"/>
    <w:multiLevelType w:val="hybridMultilevel"/>
    <w:tmpl w:val="7A86E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EC4C29"/>
    <w:multiLevelType w:val="hybridMultilevel"/>
    <w:tmpl w:val="0BEE0B74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1" w15:restartNumberingAfterBreak="0">
    <w:nsid w:val="25143337"/>
    <w:multiLevelType w:val="hybridMultilevel"/>
    <w:tmpl w:val="1ACA2E6A"/>
    <w:lvl w:ilvl="0" w:tplc="1160E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2138B"/>
    <w:multiLevelType w:val="hybridMultilevel"/>
    <w:tmpl w:val="DB26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B4AC1"/>
    <w:multiLevelType w:val="hybridMultilevel"/>
    <w:tmpl w:val="288A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64FA7"/>
    <w:multiLevelType w:val="hybridMultilevel"/>
    <w:tmpl w:val="067E7292"/>
    <w:lvl w:ilvl="0" w:tplc="2B249336">
      <w:start w:val="1"/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B255D02"/>
    <w:multiLevelType w:val="hybridMultilevel"/>
    <w:tmpl w:val="D144A77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5F1D"/>
    <w:multiLevelType w:val="hybridMultilevel"/>
    <w:tmpl w:val="7056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43668"/>
    <w:multiLevelType w:val="hybridMultilevel"/>
    <w:tmpl w:val="29FCF1FC"/>
    <w:lvl w:ilvl="0" w:tplc="2FB81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37329"/>
    <w:multiLevelType w:val="hybridMultilevel"/>
    <w:tmpl w:val="89B2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3578A"/>
    <w:multiLevelType w:val="hybridMultilevel"/>
    <w:tmpl w:val="76CC1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BC6567"/>
    <w:multiLevelType w:val="hybridMultilevel"/>
    <w:tmpl w:val="ABF2F40E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D58A9"/>
    <w:multiLevelType w:val="hybridMultilevel"/>
    <w:tmpl w:val="24A40126"/>
    <w:lvl w:ilvl="0" w:tplc="850465B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4A5738"/>
    <w:multiLevelType w:val="hybridMultilevel"/>
    <w:tmpl w:val="9D2E9AD6"/>
    <w:lvl w:ilvl="0" w:tplc="7372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C74FF"/>
    <w:multiLevelType w:val="hybridMultilevel"/>
    <w:tmpl w:val="499A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4185B"/>
    <w:multiLevelType w:val="hybridMultilevel"/>
    <w:tmpl w:val="38F4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A5E37"/>
    <w:multiLevelType w:val="hybridMultilevel"/>
    <w:tmpl w:val="44C6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72592"/>
    <w:multiLevelType w:val="hybridMultilevel"/>
    <w:tmpl w:val="F0D82F04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24E36"/>
    <w:multiLevelType w:val="hybridMultilevel"/>
    <w:tmpl w:val="8AECF7B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A3A28"/>
    <w:multiLevelType w:val="hybridMultilevel"/>
    <w:tmpl w:val="4EEE8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01EDB"/>
    <w:multiLevelType w:val="hybridMultilevel"/>
    <w:tmpl w:val="5642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86109"/>
    <w:multiLevelType w:val="hybridMultilevel"/>
    <w:tmpl w:val="9DBA6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EC0DE7"/>
    <w:multiLevelType w:val="hybridMultilevel"/>
    <w:tmpl w:val="4A60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2096A"/>
    <w:multiLevelType w:val="hybridMultilevel"/>
    <w:tmpl w:val="8F60BB8E"/>
    <w:lvl w:ilvl="0" w:tplc="B05C2E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32A33"/>
    <w:multiLevelType w:val="hybridMultilevel"/>
    <w:tmpl w:val="37B811C2"/>
    <w:lvl w:ilvl="0" w:tplc="A8EE5F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024F6"/>
    <w:multiLevelType w:val="hybridMultilevel"/>
    <w:tmpl w:val="6F68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218AB"/>
    <w:multiLevelType w:val="hybridMultilevel"/>
    <w:tmpl w:val="303E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92E95"/>
    <w:multiLevelType w:val="hybridMultilevel"/>
    <w:tmpl w:val="964A1304"/>
    <w:lvl w:ilvl="0" w:tplc="5DD4ECCC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7" w15:restartNumberingAfterBreak="0">
    <w:nsid w:val="6B16771A"/>
    <w:multiLevelType w:val="hybridMultilevel"/>
    <w:tmpl w:val="8890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5212"/>
    <w:multiLevelType w:val="hybridMultilevel"/>
    <w:tmpl w:val="74AC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84085D"/>
    <w:multiLevelType w:val="hybridMultilevel"/>
    <w:tmpl w:val="EE60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E1C76"/>
    <w:multiLevelType w:val="hybridMultilevel"/>
    <w:tmpl w:val="005E92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"/>
  </w:num>
  <w:num w:numId="5">
    <w:abstractNumId w:val="30"/>
  </w:num>
  <w:num w:numId="6">
    <w:abstractNumId w:val="16"/>
  </w:num>
  <w:num w:numId="7">
    <w:abstractNumId w:val="22"/>
  </w:num>
  <w:num w:numId="8">
    <w:abstractNumId w:val="20"/>
  </w:num>
  <w:num w:numId="9">
    <w:abstractNumId w:val="15"/>
  </w:num>
  <w:num w:numId="10">
    <w:abstractNumId w:val="27"/>
  </w:num>
  <w:num w:numId="11">
    <w:abstractNumId w:val="21"/>
  </w:num>
  <w:num w:numId="12">
    <w:abstractNumId w:val="14"/>
  </w:num>
  <w:num w:numId="13">
    <w:abstractNumId w:val="36"/>
  </w:num>
  <w:num w:numId="14">
    <w:abstractNumId w:val="18"/>
  </w:num>
  <w:num w:numId="15">
    <w:abstractNumId w:val="23"/>
  </w:num>
  <w:num w:numId="16">
    <w:abstractNumId w:val="35"/>
  </w:num>
  <w:num w:numId="17">
    <w:abstractNumId w:val="39"/>
  </w:num>
  <w:num w:numId="18">
    <w:abstractNumId w:val="32"/>
  </w:num>
  <w:num w:numId="19">
    <w:abstractNumId w:val="7"/>
  </w:num>
  <w:num w:numId="20">
    <w:abstractNumId w:val="31"/>
  </w:num>
  <w:num w:numId="21">
    <w:abstractNumId w:val="29"/>
  </w:num>
  <w:num w:numId="22">
    <w:abstractNumId w:val="19"/>
  </w:num>
  <w:num w:numId="23">
    <w:abstractNumId w:val="24"/>
  </w:num>
  <w:num w:numId="24">
    <w:abstractNumId w:val="6"/>
  </w:num>
  <w:num w:numId="25">
    <w:abstractNumId w:val="26"/>
  </w:num>
  <w:num w:numId="26">
    <w:abstractNumId w:val="3"/>
  </w:num>
  <w:num w:numId="27">
    <w:abstractNumId w:val="5"/>
  </w:num>
  <w:num w:numId="28">
    <w:abstractNumId w:val="33"/>
  </w:num>
  <w:num w:numId="29">
    <w:abstractNumId w:val="0"/>
  </w:num>
  <w:num w:numId="30">
    <w:abstractNumId w:val="38"/>
  </w:num>
  <w:num w:numId="31">
    <w:abstractNumId w:val="28"/>
  </w:num>
  <w:num w:numId="32">
    <w:abstractNumId w:val="8"/>
  </w:num>
  <w:num w:numId="33">
    <w:abstractNumId w:val="10"/>
  </w:num>
  <w:num w:numId="34">
    <w:abstractNumId w:val="2"/>
  </w:num>
  <w:num w:numId="35">
    <w:abstractNumId w:val="25"/>
  </w:num>
  <w:num w:numId="36">
    <w:abstractNumId w:val="12"/>
  </w:num>
  <w:num w:numId="37">
    <w:abstractNumId w:val="34"/>
  </w:num>
  <w:num w:numId="38">
    <w:abstractNumId w:val="37"/>
  </w:num>
  <w:num w:numId="39">
    <w:abstractNumId w:val="40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46015"/>
    <w:rsid w:val="00081E40"/>
    <w:rsid w:val="000A5D42"/>
    <w:rsid w:val="000E0427"/>
    <w:rsid w:val="000E7094"/>
    <w:rsid w:val="0010508A"/>
    <w:rsid w:val="0014157F"/>
    <w:rsid w:val="00151269"/>
    <w:rsid w:val="00153F9A"/>
    <w:rsid w:val="00154040"/>
    <w:rsid w:val="00172B9C"/>
    <w:rsid w:val="001A59DB"/>
    <w:rsid w:val="001C3463"/>
    <w:rsid w:val="001F528A"/>
    <w:rsid w:val="002345BD"/>
    <w:rsid w:val="002369BA"/>
    <w:rsid w:val="00256D9C"/>
    <w:rsid w:val="00291594"/>
    <w:rsid w:val="00293B94"/>
    <w:rsid w:val="002C12A0"/>
    <w:rsid w:val="002E19C5"/>
    <w:rsid w:val="002F5EE5"/>
    <w:rsid w:val="00306C55"/>
    <w:rsid w:val="00317B58"/>
    <w:rsid w:val="003378FC"/>
    <w:rsid w:val="00364FF7"/>
    <w:rsid w:val="003863E2"/>
    <w:rsid w:val="003B6E45"/>
    <w:rsid w:val="003C04A7"/>
    <w:rsid w:val="0043004D"/>
    <w:rsid w:val="00437A50"/>
    <w:rsid w:val="00451CD1"/>
    <w:rsid w:val="004551F0"/>
    <w:rsid w:val="00455F63"/>
    <w:rsid w:val="00470AA0"/>
    <w:rsid w:val="00480C99"/>
    <w:rsid w:val="00482754"/>
    <w:rsid w:val="00543A1E"/>
    <w:rsid w:val="00564316"/>
    <w:rsid w:val="005777C8"/>
    <w:rsid w:val="005B20BD"/>
    <w:rsid w:val="005F4BDB"/>
    <w:rsid w:val="00650473"/>
    <w:rsid w:val="006862A2"/>
    <w:rsid w:val="00697EC6"/>
    <w:rsid w:val="006C5183"/>
    <w:rsid w:val="007165DE"/>
    <w:rsid w:val="007263B3"/>
    <w:rsid w:val="007357FD"/>
    <w:rsid w:val="00751ECC"/>
    <w:rsid w:val="00791D91"/>
    <w:rsid w:val="007D28D5"/>
    <w:rsid w:val="007F5375"/>
    <w:rsid w:val="00822663"/>
    <w:rsid w:val="008547C6"/>
    <w:rsid w:val="00870B5D"/>
    <w:rsid w:val="008A398F"/>
    <w:rsid w:val="008E0B7A"/>
    <w:rsid w:val="008F5500"/>
    <w:rsid w:val="00916709"/>
    <w:rsid w:val="009937A8"/>
    <w:rsid w:val="00A4226C"/>
    <w:rsid w:val="00A81979"/>
    <w:rsid w:val="00A93D26"/>
    <w:rsid w:val="00AF5D58"/>
    <w:rsid w:val="00B71977"/>
    <w:rsid w:val="00B739FC"/>
    <w:rsid w:val="00BA6B61"/>
    <w:rsid w:val="00BB3D4E"/>
    <w:rsid w:val="00BC7591"/>
    <w:rsid w:val="00C473C9"/>
    <w:rsid w:val="00CB0CBF"/>
    <w:rsid w:val="00D11F6E"/>
    <w:rsid w:val="00D1488F"/>
    <w:rsid w:val="00D21A93"/>
    <w:rsid w:val="00D31879"/>
    <w:rsid w:val="00D63648"/>
    <w:rsid w:val="00DA71D9"/>
    <w:rsid w:val="00DE3FFB"/>
    <w:rsid w:val="00DF4C47"/>
    <w:rsid w:val="00E14A74"/>
    <w:rsid w:val="00E21E44"/>
    <w:rsid w:val="00E34C69"/>
    <w:rsid w:val="00E64ADC"/>
    <w:rsid w:val="00E84622"/>
    <w:rsid w:val="00EC4679"/>
    <w:rsid w:val="00ED62AD"/>
    <w:rsid w:val="00F05B31"/>
    <w:rsid w:val="00F84A5F"/>
    <w:rsid w:val="00FA1E26"/>
    <w:rsid w:val="010F21CF"/>
    <w:rsid w:val="01DC754D"/>
    <w:rsid w:val="02BC5AE3"/>
    <w:rsid w:val="037845AE"/>
    <w:rsid w:val="04C73261"/>
    <w:rsid w:val="075AE201"/>
    <w:rsid w:val="0969E44D"/>
    <w:rsid w:val="0AA05B6A"/>
    <w:rsid w:val="0B9B2946"/>
    <w:rsid w:val="0BD2C87B"/>
    <w:rsid w:val="0C40999F"/>
    <w:rsid w:val="0CE3555D"/>
    <w:rsid w:val="0D8CC93C"/>
    <w:rsid w:val="0DE1F9A6"/>
    <w:rsid w:val="0E0CFD97"/>
    <w:rsid w:val="0EA9EF54"/>
    <w:rsid w:val="0F5292C9"/>
    <w:rsid w:val="119917F1"/>
    <w:rsid w:val="121A04AB"/>
    <w:rsid w:val="13AA08B4"/>
    <w:rsid w:val="144A94C6"/>
    <w:rsid w:val="14A84B03"/>
    <w:rsid w:val="15C8F6B3"/>
    <w:rsid w:val="15CED766"/>
    <w:rsid w:val="175B2B07"/>
    <w:rsid w:val="17834C46"/>
    <w:rsid w:val="191F1CA7"/>
    <w:rsid w:val="1999854C"/>
    <w:rsid w:val="1C952DB8"/>
    <w:rsid w:val="1D5340C6"/>
    <w:rsid w:val="1DF1783D"/>
    <w:rsid w:val="1E0FE654"/>
    <w:rsid w:val="20574931"/>
    <w:rsid w:val="216DF68B"/>
    <w:rsid w:val="21A1D904"/>
    <w:rsid w:val="21E8A418"/>
    <w:rsid w:val="21F254C3"/>
    <w:rsid w:val="243ACCCB"/>
    <w:rsid w:val="2552B357"/>
    <w:rsid w:val="25A541EA"/>
    <w:rsid w:val="2690AE94"/>
    <w:rsid w:val="26AA40A4"/>
    <w:rsid w:val="26C7992E"/>
    <w:rsid w:val="26E3542F"/>
    <w:rsid w:val="270E443E"/>
    <w:rsid w:val="27997010"/>
    <w:rsid w:val="28740AA6"/>
    <w:rsid w:val="28837E22"/>
    <w:rsid w:val="28CAA113"/>
    <w:rsid w:val="2AF656E2"/>
    <w:rsid w:val="2B102BD9"/>
    <w:rsid w:val="2B945DFB"/>
    <w:rsid w:val="2B9A9763"/>
    <w:rsid w:val="2C4B0545"/>
    <w:rsid w:val="2D36DAB2"/>
    <w:rsid w:val="2E2DF7A4"/>
    <w:rsid w:val="2ED2AB13"/>
    <w:rsid w:val="2EEA1486"/>
    <w:rsid w:val="30295628"/>
    <w:rsid w:val="306E7B74"/>
    <w:rsid w:val="320A4BD5"/>
    <w:rsid w:val="327841EF"/>
    <w:rsid w:val="3425EF1E"/>
    <w:rsid w:val="34502C2C"/>
    <w:rsid w:val="3611033A"/>
    <w:rsid w:val="3635AF8A"/>
    <w:rsid w:val="377C8946"/>
    <w:rsid w:val="387CD98F"/>
    <w:rsid w:val="3891B153"/>
    <w:rsid w:val="395289C0"/>
    <w:rsid w:val="39A2063B"/>
    <w:rsid w:val="3A058795"/>
    <w:rsid w:val="3BAD97AE"/>
    <w:rsid w:val="3C2AA828"/>
    <w:rsid w:val="3D42BB1F"/>
    <w:rsid w:val="3D526FDC"/>
    <w:rsid w:val="3F015D7A"/>
    <w:rsid w:val="3FB4BC0A"/>
    <w:rsid w:val="424F666B"/>
    <w:rsid w:val="43499195"/>
    <w:rsid w:val="4496DA96"/>
    <w:rsid w:val="46F34702"/>
    <w:rsid w:val="4924C579"/>
    <w:rsid w:val="4A369A42"/>
    <w:rsid w:val="4B6C326C"/>
    <w:rsid w:val="4C9E560E"/>
    <w:rsid w:val="4CB96D62"/>
    <w:rsid w:val="4CE16C50"/>
    <w:rsid w:val="4E474F91"/>
    <w:rsid w:val="4FEA2E54"/>
    <w:rsid w:val="5171C731"/>
    <w:rsid w:val="517A963C"/>
    <w:rsid w:val="524F2206"/>
    <w:rsid w:val="530D9792"/>
    <w:rsid w:val="530EDC30"/>
    <w:rsid w:val="53F741F0"/>
    <w:rsid w:val="54D37C85"/>
    <w:rsid w:val="54F4B8D4"/>
    <w:rsid w:val="56453854"/>
    <w:rsid w:val="57229329"/>
    <w:rsid w:val="57EC8CA8"/>
    <w:rsid w:val="582B261A"/>
    <w:rsid w:val="593F3EBA"/>
    <w:rsid w:val="5C206466"/>
    <w:rsid w:val="600DCEE9"/>
    <w:rsid w:val="611B82ED"/>
    <w:rsid w:val="616B9928"/>
    <w:rsid w:val="61936EEE"/>
    <w:rsid w:val="623E8EDA"/>
    <w:rsid w:val="632F3F4F"/>
    <w:rsid w:val="64C2886A"/>
    <w:rsid w:val="64CB0FB0"/>
    <w:rsid w:val="6735F6B4"/>
    <w:rsid w:val="67FA292C"/>
    <w:rsid w:val="687C2A7F"/>
    <w:rsid w:val="69AF21EA"/>
    <w:rsid w:val="6A6104F4"/>
    <w:rsid w:val="6C206525"/>
    <w:rsid w:val="6D8EF9B7"/>
    <w:rsid w:val="6DBC3586"/>
    <w:rsid w:val="6E4B6664"/>
    <w:rsid w:val="6E696AB0"/>
    <w:rsid w:val="6FBBE780"/>
    <w:rsid w:val="700D2897"/>
    <w:rsid w:val="71A8F8F8"/>
    <w:rsid w:val="71FC2415"/>
    <w:rsid w:val="72A272CF"/>
    <w:rsid w:val="77369684"/>
    <w:rsid w:val="77618693"/>
    <w:rsid w:val="78104CF6"/>
    <w:rsid w:val="7977208B"/>
    <w:rsid w:val="7A4FD1FF"/>
    <w:rsid w:val="7B4FDB3E"/>
    <w:rsid w:val="7B87E062"/>
    <w:rsid w:val="7E12479D"/>
    <w:rsid w:val="7E9DD5ED"/>
    <w:rsid w:val="7EA4D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72A272CF"/>
    <w:pPr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72A272CF"/>
    <w:rPr>
      <w:rFonts w:ascii="Arial" w:hAnsi="Arial" w:cs="Arial"/>
      <w:b/>
      <w:bCs/>
      <w:color w:val="auto"/>
      <w:sz w:val="24"/>
      <w:szCs w:val="24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11F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3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FC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3863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taconline.org/Resource/JWHaEa5BS76VDjWazacPxQ/Resource-hlp-11-checklist-identify-long--and-short-term-learning-goals-high-leverage-practices" TargetMode="External"/><Relationship Id="rId18" Type="http://schemas.openxmlformats.org/officeDocument/2006/relationships/hyperlink" Target="https://www.imdetermined.org/wp-content/uploads/2022/11/Goal-Plan_Tool_IMD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ighleveragepractices.org/hlp-11-goal-settin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taconline.org/Resource/JWHaEa5BS76f8v58BeBJYg/Resource-rubric--hlp-11-identify-and-prioritize-long--and-short-term-learning-goals-vdoe-ttac-at-gmu" TargetMode="External"/><Relationship Id="rId17" Type="http://schemas.openxmlformats.org/officeDocument/2006/relationships/hyperlink" Target="https://highleveragepractices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ris.peabody.vanderbilt.edu/resources/high-leverage-practices/" TargetMode="External"/><Relationship Id="rId20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ntensiveintervention.org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ighleveragepractices.org/hlp-11-goal-setting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446F-4412-4161-9939-A290AE649C02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7ced3dd-177e-454b-b64a-ad68f0d994e1"/>
    <ds:schemaRef ds:uri="http://www.w3.org/XML/1998/namespace"/>
    <ds:schemaRef ds:uri="http://schemas.openxmlformats.org/package/2006/metadata/core-properties"/>
    <ds:schemaRef ds:uri="e57f6c35-541a-4073-a2f6-49dc8be0127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8EC9D-7C0C-4A2F-A255-A4D94F5A3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C7DD03-68AC-42CE-9C87-8E103E34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7</cp:revision>
  <dcterms:created xsi:type="dcterms:W3CDTF">2024-05-01T13:56:00Z</dcterms:created>
  <dcterms:modified xsi:type="dcterms:W3CDTF">2024-05-02T15:06:00Z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  <property fmtid="{D5CDD505-2E9C-101B-9397-08002B2CF9AE}" pid="3" name="GrammarlyDocumentId">
    <vt:lpwstr>7d5a07c74b4005771971091b4a985e9b464763271833bc38b67adb0ac5ce46aa</vt:lpwstr>
  </property>
</Properties>
</file>