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1CA25" w14:textId="05FFE0EF" w:rsidR="002B57EF" w:rsidRDefault="002D450E" w:rsidP="002D450E">
      <w:pPr>
        <w:pStyle w:val="Heading1"/>
        <w:spacing w:before="0" w:after="100" w:afterAutospacing="1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>
        <w:rPr>
          <w:noProof/>
        </w:rPr>
        <w:drawing>
          <wp:inline distT="0" distB="0" distL="0" distR="0" wp14:anchorId="4464D7F0" wp14:editId="69A271C3">
            <wp:extent cx="5941695" cy="525122"/>
            <wp:effectExtent l="0" t="0" r="1905" b="8890"/>
            <wp:docPr id="5" name="Picture 5" descr="VDOE Region 4 -Training and Technical Assistance Center, George Mason University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eader- VOE Region 4 -Training and Technical Assistance Center - George Mason University  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322" cy="52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A0E5D" w14:textId="4DE4E34E" w:rsidR="00E17876" w:rsidRPr="002B57EF" w:rsidRDefault="00E17876" w:rsidP="002B57EF">
      <w:pPr>
        <w:pStyle w:val="Heading1"/>
        <w:spacing w:before="0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2B57EF">
        <w:rPr>
          <w:rFonts w:ascii="Arial" w:hAnsi="Arial" w:cs="Arial"/>
          <w:b/>
          <w:color w:val="262626" w:themeColor="text1" w:themeTint="D9"/>
          <w:sz w:val="28"/>
          <w:szCs w:val="28"/>
        </w:rPr>
        <w:t>HLP Highlight Tool</w:t>
      </w:r>
    </w:p>
    <w:p w14:paraId="3955FD5B" w14:textId="7D66C799" w:rsidR="00E17876" w:rsidRPr="002B57EF" w:rsidRDefault="00E17876" w:rsidP="002B57EF">
      <w:pPr>
        <w:pStyle w:val="Heading1"/>
        <w:spacing w:before="0"/>
        <w:jc w:val="center"/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  <w:r w:rsidRPr="002B57EF">
        <w:rPr>
          <w:rFonts w:ascii="Arial" w:hAnsi="Arial" w:cs="Arial"/>
          <w:b/>
          <w:color w:val="262626" w:themeColor="text1" w:themeTint="D9"/>
          <w:sz w:val="28"/>
          <w:szCs w:val="28"/>
        </w:rPr>
        <w:t xml:space="preserve">HLP 21: </w:t>
      </w:r>
      <w:r w:rsidRPr="002B57EF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 xml:space="preserve">Teach Students to Maintain and Generalize New Learning </w:t>
      </w:r>
      <w:r w:rsidR="00A80026" w:rsidRPr="002B57EF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br/>
      </w:r>
      <w:r w:rsidRPr="002B57EF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Across Time and Settings</w:t>
      </w:r>
    </w:p>
    <w:p w14:paraId="1BBE4BDF" w14:textId="019690DD" w:rsidR="00A80026" w:rsidRPr="00A80026" w:rsidRDefault="00A80026" w:rsidP="00A800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Embedded under</w:t>
      </w:r>
      <w:r w:rsidR="00422604">
        <w:rPr>
          <w:rFonts w:ascii="Arial" w:hAnsi="Arial" w:cs="Arial"/>
          <w:sz w:val="24"/>
          <w:szCs w:val="24"/>
        </w:rPr>
        <w:t xml:space="preserve"> </w:t>
      </w:r>
      <w:r w:rsidR="009F5680">
        <w:rPr>
          <w:rFonts w:ascii="Arial" w:hAnsi="Arial" w:cs="Arial"/>
          <w:sz w:val="24"/>
          <w:szCs w:val="24"/>
        </w:rPr>
        <w:t>Instruction in Behavior and Academics</w:t>
      </w:r>
      <w:r w:rsidR="00422604">
        <w:rPr>
          <w:rFonts w:ascii="Arial" w:hAnsi="Arial" w:cs="Arial"/>
          <w:sz w:val="24"/>
          <w:szCs w:val="24"/>
        </w:rPr>
        <w:t xml:space="preserve"> Pillar (HLP</w:t>
      </w:r>
      <w:r w:rsidR="00621BEF">
        <w:rPr>
          <w:rFonts w:ascii="Arial" w:hAnsi="Arial" w:cs="Arial"/>
          <w:sz w:val="24"/>
          <w:szCs w:val="24"/>
        </w:rPr>
        <w:t>s</w:t>
      </w:r>
      <w:r w:rsidR="00422604">
        <w:rPr>
          <w:rFonts w:ascii="Arial" w:hAnsi="Arial" w:cs="Arial"/>
          <w:sz w:val="24"/>
          <w:szCs w:val="24"/>
        </w:rPr>
        <w:t xml:space="preserve"> </w:t>
      </w:r>
      <w:r w:rsidR="00621BEF">
        <w:rPr>
          <w:rFonts w:ascii="Arial" w:hAnsi="Arial" w:cs="Arial"/>
          <w:sz w:val="24"/>
          <w:szCs w:val="24"/>
        </w:rPr>
        <w:t>7 &amp;</w:t>
      </w:r>
      <w:r w:rsidR="00422604">
        <w:rPr>
          <w:rFonts w:ascii="Arial" w:hAnsi="Arial" w:cs="Arial"/>
          <w:sz w:val="24"/>
          <w:szCs w:val="24"/>
        </w:rPr>
        <w:t>16)</w:t>
      </w:r>
    </w:p>
    <w:p w14:paraId="238ED0BB" w14:textId="77777777" w:rsidR="00E17876" w:rsidRPr="002B57EF" w:rsidRDefault="00E17876" w:rsidP="002B57EF">
      <w:pPr>
        <w:pStyle w:val="Heading2"/>
      </w:pPr>
      <w:r w:rsidRPr="002B57EF">
        <w:t>Here’s What It Is:</w:t>
      </w:r>
    </w:p>
    <w:p w14:paraId="6CCCDEE1" w14:textId="0A67C136" w:rsidR="00C8341E" w:rsidRPr="00C8341E" w:rsidRDefault="0050469F" w:rsidP="00C834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Generalizing learning refers to a student’s ability to </w:t>
      </w:r>
      <w:r w:rsidR="00005759">
        <w:rPr>
          <w:rFonts w:ascii="Arial" w:hAnsi="Arial" w:cs="Arial"/>
          <w:sz w:val="24"/>
          <w:szCs w:val="24"/>
        </w:rPr>
        <w:t xml:space="preserve">apply concepts and skills learned in one setting to multiple settings. </w:t>
      </w:r>
      <w:r w:rsidR="005529E5">
        <w:rPr>
          <w:rFonts w:ascii="Arial" w:hAnsi="Arial" w:cs="Arial"/>
          <w:sz w:val="24"/>
          <w:szCs w:val="24"/>
        </w:rPr>
        <w:t>Maintaining learning refers to a student’s ability to</w:t>
      </w:r>
      <w:r w:rsidR="00FE7BF3">
        <w:rPr>
          <w:rFonts w:ascii="Arial" w:hAnsi="Arial" w:cs="Arial"/>
          <w:sz w:val="24"/>
          <w:szCs w:val="24"/>
        </w:rPr>
        <w:t xml:space="preserve"> continue</w:t>
      </w:r>
      <w:r w:rsidR="005529E5">
        <w:rPr>
          <w:rFonts w:ascii="Arial" w:hAnsi="Arial" w:cs="Arial"/>
          <w:sz w:val="24"/>
          <w:szCs w:val="24"/>
        </w:rPr>
        <w:t xml:space="preserve"> </w:t>
      </w:r>
      <w:r w:rsidR="002944B5">
        <w:rPr>
          <w:rFonts w:ascii="Arial" w:hAnsi="Arial" w:cs="Arial"/>
          <w:sz w:val="24"/>
          <w:szCs w:val="24"/>
        </w:rPr>
        <w:t>utiliz</w:t>
      </w:r>
      <w:r w:rsidR="00FE7BF3">
        <w:rPr>
          <w:rFonts w:ascii="Arial" w:hAnsi="Arial" w:cs="Arial"/>
          <w:sz w:val="24"/>
          <w:szCs w:val="24"/>
        </w:rPr>
        <w:t>ing</w:t>
      </w:r>
      <w:r w:rsidR="002944B5">
        <w:rPr>
          <w:rFonts w:ascii="Arial" w:hAnsi="Arial" w:cs="Arial"/>
          <w:sz w:val="24"/>
          <w:szCs w:val="24"/>
        </w:rPr>
        <w:t xml:space="preserve"> </w:t>
      </w:r>
      <w:r w:rsidR="00ED41A2">
        <w:rPr>
          <w:rFonts w:ascii="Arial" w:hAnsi="Arial" w:cs="Arial"/>
          <w:sz w:val="24"/>
          <w:szCs w:val="24"/>
        </w:rPr>
        <w:t xml:space="preserve">learned </w:t>
      </w:r>
      <w:r w:rsidR="002944B5">
        <w:rPr>
          <w:rFonts w:ascii="Arial" w:hAnsi="Arial" w:cs="Arial"/>
          <w:sz w:val="24"/>
          <w:szCs w:val="24"/>
        </w:rPr>
        <w:t>skills and concepts</w:t>
      </w:r>
      <w:r w:rsidR="00FE7BF3">
        <w:rPr>
          <w:rFonts w:ascii="Arial" w:hAnsi="Arial" w:cs="Arial"/>
          <w:sz w:val="24"/>
          <w:szCs w:val="24"/>
        </w:rPr>
        <w:t xml:space="preserve"> </w:t>
      </w:r>
      <w:r w:rsidR="00ED41A2">
        <w:rPr>
          <w:rFonts w:ascii="Arial" w:hAnsi="Arial" w:cs="Arial"/>
          <w:sz w:val="24"/>
          <w:szCs w:val="24"/>
        </w:rPr>
        <w:t>independently</w:t>
      </w:r>
      <w:r w:rsidR="00D73309">
        <w:rPr>
          <w:rFonts w:ascii="Arial" w:hAnsi="Arial" w:cs="Arial"/>
          <w:sz w:val="24"/>
          <w:szCs w:val="24"/>
        </w:rPr>
        <w:t xml:space="preserve"> over time. </w:t>
      </w:r>
      <w:r w:rsidR="00630EEC">
        <w:rPr>
          <w:rFonts w:ascii="Arial" w:hAnsi="Arial" w:cs="Arial"/>
          <w:sz w:val="24"/>
          <w:szCs w:val="24"/>
        </w:rPr>
        <w:t xml:space="preserve">Generalization and maintenance of </w:t>
      </w:r>
      <w:r w:rsidR="002E7456">
        <w:rPr>
          <w:rFonts w:ascii="Arial" w:hAnsi="Arial" w:cs="Arial"/>
          <w:sz w:val="24"/>
          <w:szCs w:val="24"/>
        </w:rPr>
        <w:t>learning should be intentionally taught, especially for struggling learners</w:t>
      </w:r>
      <w:r w:rsidR="00C166A9">
        <w:rPr>
          <w:rFonts w:ascii="Arial" w:hAnsi="Arial" w:cs="Arial"/>
          <w:sz w:val="24"/>
          <w:szCs w:val="24"/>
        </w:rPr>
        <w:t xml:space="preserve">, through the use of </w:t>
      </w:r>
      <w:r w:rsidR="00AB5242">
        <w:rPr>
          <w:rFonts w:ascii="Arial" w:hAnsi="Arial" w:cs="Arial"/>
          <w:sz w:val="24"/>
          <w:szCs w:val="24"/>
        </w:rPr>
        <w:t>systematic instruction</w:t>
      </w:r>
      <w:r w:rsidR="009036F1">
        <w:rPr>
          <w:rFonts w:ascii="Arial" w:hAnsi="Arial" w:cs="Arial"/>
          <w:sz w:val="24"/>
          <w:szCs w:val="24"/>
        </w:rPr>
        <w:t xml:space="preserve"> of academic skills and self-management skills</w:t>
      </w:r>
      <w:r w:rsidR="00AB5242">
        <w:rPr>
          <w:rFonts w:ascii="Arial" w:hAnsi="Arial" w:cs="Arial"/>
          <w:sz w:val="24"/>
          <w:szCs w:val="24"/>
        </w:rPr>
        <w:t>, scaffolds</w:t>
      </w:r>
      <w:r w:rsidR="00390C7E">
        <w:rPr>
          <w:rFonts w:ascii="Arial" w:hAnsi="Arial" w:cs="Arial"/>
          <w:sz w:val="24"/>
          <w:szCs w:val="24"/>
        </w:rPr>
        <w:t xml:space="preserve"> that are gradually removed</w:t>
      </w:r>
      <w:r w:rsidR="00D40630">
        <w:rPr>
          <w:rFonts w:ascii="Arial" w:hAnsi="Arial" w:cs="Arial"/>
          <w:sz w:val="24"/>
          <w:szCs w:val="24"/>
        </w:rPr>
        <w:t>,</w:t>
      </w:r>
      <w:r w:rsidR="00916260">
        <w:rPr>
          <w:rFonts w:ascii="Arial" w:hAnsi="Arial" w:cs="Arial"/>
          <w:sz w:val="24"/>
          <w:szCs w:val="24"/>
        </w:rPr>
        <w:t xml:space="preserve"> and</w:t>
      </w:r>
      <w:r w:rsidR="00D40630">
        <w:rPr>
          <w:rFonts w:ascii="Arial" w:hAnsi="Arial" w:cs="Arial"/>
          <w:sz w:val="24"/>
          <w:szCs w:val="24"/>
        </w:rPr>
        <w:t xml:space="preserve"> reinforcement schedules</w:t>
      </w:r>
      <w:r w:rsidR="00916260">
        <w:rPr>
          <w:rFonts w:ascii="Arial" w:hAnsi="Arial" w:cs="Arial"/>
          <w:sz w:val="24"/>
          <w:szCs w:val="24"/>
        </w:rPr>
        <w:t>.</w:t>
      </w:r>
    </w:p>
    <w:p w14:paraId="361BB940" w14:textId="7CF1F2BC" w:rsidR="00E17876" w:rsidRPr="00621BEF" w:rsidRDefault="00621BEF" w:rsidP="002B57EF">
      <w:pPr>
        <w:pStyle w:val="Heading2"/>
      </w:pPr>
      <w:r>
        <w:t>Here’s When to Use It</w:t>
      </w:r>
    </w:p>
    <w:p w14:paraId="6A277A63" w14:textId="034360DF" w:rsidR="00E17876" w:rsidRDefault="008B06CB" w:rsidP="00E1787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4C1CFE0F">
        <w:rPr>
          <w:rFonts w:ascii="Arial" w:hAnsi="Arial" w:cs="Arial"/>
          <w:sz w:val="24"/>
          <w:szCs w:val="24"/>
        </w:rPr>
        <w:t>When</w:t>
      </w:r>
      <w:r w:rsidR="00156ECF" w:rsidRPr="4C1CFE0F">
        <w:rPr>
          <w:rFonts w:ascii="Arial" w:hAnsi="Arial" w:cs="Arial"/>
          <w:sz w:val="24"/>
          <w:szCs w:val="24"/>
        </w:rPr>
        <w:t xml:space="preserve"> </w:t>
      </w:r>
      <w:r w:rsidR="000A015B" w:rsidRPr="4C1CFE0F">
        <w:rPr>
          <w:rFonts w:ascii="Arial" w:hAnsi="Arial" w:cs="Arial"/>
          <w:sz w:val="24"/>
          <w:szCs w:val="24"/>
        </w:rPr>
        <w:t>teaching</w:t>
      </w:r>
      <w:r w:rsidR="00156ECF" w:rsidRPr="4C1CFE0F">
        <w:rPr>
          <w:rFonts w:ascii="Arial" w:hAnsi="Arial" w:cs="Arial"/>
          <w:sz w:val="24"/>
          <w:szCs w:val="24"/>
        </w:rPr>
        <w:t xml:space="preserve"> academic </w:t>
      </w:r>
      <w:r w:rsidR="772CAA8E" w:rsidRPr="4C1CFE0F">
        <w:rPr>
          <w:rFonts w:ascii="Arial" w:hAnsi="Arial" w:cs="Arial"/>
          <w:sz w:val="24"/>
          <w:szCs w:val="24"/>
        </w:rPr>
        <w:t xml:space="preserve">and behavioral </w:t>
      </w:r>
      <w:r w:rsidR="00156ECF" w:rsidRPr="4C1CFE0F">
        <w:rPr>
          <w:rFonts w:ascii="Arial" w:hAnsi="Arial" w:cs="Arial"/>
          <w:sz w:val="24"/>
          <w:szCs w:val="24"/>
        </w:rPr>
        <w:t xml:space="preserve">skills </w:t>
      </w:r>
      <w:r w:rsidR="0041054E" w:rsidRPr="4C1CFE0F">
        <w:rPr>
          <w:rFonts w:ascii="Arial" w:hAnsi="Arial" w:cs="Arial"/>
          <w:sz w:val="24"/>
          <w:szCs w:val="24"/>
        </w:rPr>
        <w:t xml:space="preserve">that apply </w:t>
      </w:r>
      <w:r w:rsidR="00156ECF" w:rsidRPr="4C1CFE0F">
        <w:rPr>
          <w:rFonts w:ascii="Arial" w:hAnsi="Arial" w:cs="Arial"/>
          <w:sz w:val="24"/>
          <w:szCs w:val="24"/>
        </w:rPr>
        <w:t>to multiple settings</w:t>
      </w:r>
    </w:p>
    <w:p w14:paraId="47F3E487" w14:textId="7D460B4A" w:rsidR="008B06CB" w:rsidRDefault="008E631E" w:rsidP="00E1787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4C1CFE0F">
        <w:rPr>
          <w:rFonts w:ascii="Arial" w:hAnsi="Arial" w:cs="Arial"/>
          <w:sz w:val="24"/>
          <w:szCs w:val="24"/>
        </w:rPr>
        <w:t xml:space="preserve">When </w:t>
      </w:r>
      <w:r w:rsidR="0041054E" w:rsidRPr="4C1CFE0F">
        <w:rPr>
          <w:rFonts w:ascii="Arial" w:hAnsi="Arial" w:cs="Arial"/>
          <w:sz w:val="24"/>
          <w:szCs w:val="24"/>
        </w:rPr>
        <w:t>teaching</w:t>
      </w:r>
      <w:r w:rsidR="00D0613B" w:rsidRPr="4C1CFE0F">
        <w:rPr>
          <w:rFonts w:ascii="Arial" w:hAnsi="Arial" w:cs="Arial"/>
          <w:sz w:val="24"/>
          <w:szCs w:val="24"/>
        </w:rPr>
        <w:t xml:space="preserve"> new skills </w:t>
      </w:r>
      <w:r w:rsidR="0041054E" w:rsidRPr="4C1CFE0F">
        <w:rPr>
          <w:rFonts w:ascii="Arial" w:hAnsi="Arial" w:cs="Arial"/>
          <w:sz w:val="24"/>
          <w:szCs w:val="24"/>
        </w:rPr>
        <w:t>that build upon</w:t>
      </w:r>
      <w:r w:rsidR="00D0613B" w:rsidRPr="4C1CFE0F">
        <w:rPr>
          <w:rFonts w:ascii="Arial" w:hAnsi="Arial" w:cs="Arial"/>
          <w:sz w:val="24"/>
          <w:szCs w:val="24"/>
        </w:rPr>
        <w:t xml:space="preserve"> previously learned</w:t>
      </w:r>
      <w:r w:rsidR="005B016B" w:rsidRPr="4C1CFE0F">
        <w:rPr>
          <w:rFonts w:ascii="Arial" w:hAnsi="Arial" w:cs="Arial"/>
          <w:sz w:val="24"/>
          <w:szCs w:val="24"/>
        </w:rPr>
        <w:t xml:space="preserve"> content</w:t>
      </w:r>
    </w:p>
    <w:p w14:paraId="5E217160" w14:textId="6BDB8A09" w:rsidR="005B016B" w:rsidRPr="00EB7FB0" w:rsidRDefault="005B016B" w:rsidP="00E1787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4C1CFE0F">
        <w:rPr>
          <w:rFonts w:ascii="Arial" w:hAnsi="Arial" w:cs="Arial"/>
          <w:sz w:val="24"/>
          <w:szCs w:val="24"/>
        </w:rPr>
        <w:t xml:space="preserve">When </w:t>
      </w:r>
      <w:r w:rsidR="0041054E" w:rsidRPr="4C1CFE0F">
        <w:rPr>
          <w:rFonts w:ascii="Arial" w:hAnsi="Arial" w:cs="Arial"/>
          <w:sz w:val="24"/>
          <w:szCs w:val="24"/>
        </w:rPr>
        <w:t>teaching how to</w:t>
      </w:r>
      <w:r w:rsidRPr="4C1CFE0F">
        <w:rPr>
          <w:rFonts w:ascii="Arial" w:hAnsi="Arial" w:cs="Arial"/>
          <w:sz w:val="24"/>
          <w:szCs w:val="24"/>
        </w:rPr>
        <w:t xml:space="preserve"> </w:t>
      </w:r>
      <w:r w:rsidR="00FD319F" w:rsidRPr="4C1CFE0F">
        <w:rPr>
          <w:rFonts w:ascii="Arial" w:hAnsi="Arial" w:cs="Arial"/>
          <w:sz w:val="24"/>
          <w:szCs w:val="24"/>
        </w:rPr>
        <w:t>self-</w:t>
      </w:r>
      <w:r w:rsidR="00E046F8" w:rsidRPr="4C1CFE0F">
        <w:rPr>
          <w:rFonts w:ascii="Arial" w:hAnsi="Arial" w:cs="Arial"/>
          <w:sz w:val="24"/>
          <w:szCs w:val="24"/>
        </w:rPr>
        <w:t>manage</w:t>
      </w:r>
      <w:r w:rsidR="000A015B" w:rsidRPr="4C1CFE0F">
        <w:rPr>
          <w:rFonts w:ascii="Arial" w:hAnsi="Arial" w:cs="Arial"/>
          <w:sz w:val="24"/>
          <w:szCs w:val="24"/>
        </w:rPr>
        <w:t xml:space="preserve"> appropriate behavior over time</w:t>
      </w:r>
    </w:p>
    <w:p w14:paraId="078F100B" w14:textId="77777777" w:rsidR="00E17876" w:rsidRPr="00621BEF" w:rsidRDefault="00E17876" w:rsidP="002B57EF">
      <w:pPr>
        <w:pStyle w:val="Heading2"/>
      </w:pPr>
      <w:r w:rsidRPr="00621BEF">
        <w:t>Here’s What It Looks Like:</w:t>
      </w:r>
    </w:p>
    <w:p w14:paraId="4E71DB48" w14:textId="03654E9F" w:rsidR="00961D0E" w:rsidRDefault="0046302B" w:rsidP="00E178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12" w:history="1">
        <w:r w:rsidR="00230C96" w:rsidRPr="00230C96">
          <w:rPr>
            <w:rStyle w:val="Hyperlink"/>
            <w:rFonts w:ascii="Arial" w:hAnsi="Arial" w:cs="Arial"/>
            <w:sz w:val="24"/>
            <w:szCs w:val="24"/>
          </w:rPr>
          <w:t>Leadership Guide for HLP 21 (pdf)</w:t>
        </w:r>
      </w:hyperlink>
    </w:p>
    <w:p w14:paraId="254628F1" w14:textId="048220DB" w:rsidR="00DF1121" w:rsidRDefault="0046302B" w:rsidP="00E178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13">
        <w:r w:rsidR="00DF1121" w:rsidRPr="718E7D56">
          <w:rPr>
            <w:rStyle w:val="Hyperlink"/>
            <w:rFonts w:ascii="Arial" w:hAnsi="Arial" w:cs="Arial"/>
            <w:sz w:val="24"/>
            <w:szCs w:val="24"/>
          </w:rPr>
          <w:t>Faculty Guide for HLP 21 (pdf)</w:t>
        </w:r>
      </w:hyperlink>
    </w:p>
    <w:p w14:paraId="0CEC5B0E" w14:textId="3C5218C0" w:rsidR="00E17876" w:rsidRPr="00621BEF" w:rsidRDefault="0046302B" w:rsidP="718E7D5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hyperlink r:id="rId14">
        <w:r w:rsidR="6A798374" w:rsidRPr="4C1CFE0F">
          <w:rPr>
            <w:rStyle w:val="Hyperlink"/>
            <w:rFonts w:ascii="Arial" w:hAnsi="Arial" w:cs="Arial"/>
            <w:sz w:val="24"/>
            <w:szCs w:val="24"/>
          </w:rPr>
          <w:t>Overview of HLP 21</w:t>
        </w:r>
      </w:hyperlink>
      <w:r w:rsidR="6A798374" w:rsidRPr="4C1CFE0F">
        <w:rPr>
          <w:rFonts w:ascii="Arial" w:hAnsi="Arial" w:cs="Arial"/>
          <w:sz w:val="24"/>
          <w:szCs w:val="24"/>
        </w:rPr>
        <w:t xml:space="preserve"> (video)</w:t>
      </w:r>
    </w:p>
    <w:p w14:paraId="74A12BC5" w14:textId="49988D27" w:rsidR="00E17876" w:rsidRPr="00621BEF" w:rsidRDefault="6A798374" w:rsidP="718E7D5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4C1CFE0F">
        <w:rPr>
          <w:rFonts w:ascii="Arial" w:hAnsi="Arial" w:cs="Arial"/>
          <w:sz w:val="24"/>
          <w:szCs w:val="24"/>
        </w:rPr>
        <w:t>Rubric for HLP 21</w:t>
      </w:r>
      <w:r w:rsidR="4AC3A397" w:rsidRPr="4C1CFE0F">
        <w:rPr>
          <w:rFonts w:ascii="Arial" w:hAnsi="Arial" w:cs="Arial"/>
          <w:sz w:val="24"/>
          <w:szCs w:val="24"/>
        </w:rPr>
        <w:t xml:space="preserve"> – </w:t>
      </w:r>
      <w:r w:rsidR="4AC3A397" w:rsidRPr="4C1CFE0F">
        <w:rPr>
          <w:rFonts w:ascii="Arial" w:hAnsi="Arial" w:cs="Arial"/>
          <w:i/>
          <w:iCs/>
          <w:sz w:val="24"/>
          <w:szCs w:val="24"/>
        </w:rPr>
        <w:t>coming soon</w:t>
      </w:r>
      <w:bookmarkStart w:id="0" w:name="_GoBack"/>
      <w:bookmarkEnd w:id="0"/>
    </w:p>
    <w:p w14:paraId="31EE81FD" w14:textId="1D39BCAF" w:rsidR="00E17876" w:rsidRPr="00621BEF" w:rsidRDefault="00E17876" w:rsidP="002B57EF">
      <w:pPr>
        <w:pStyle w:val="Heading2"/>
      </w:pPr>
      <w:r w:rsidRPr="4C1CFE0F">
        <w:t>Resources to Extend Learning:</w:t>
      </w:r>
    </w:p>
    <w:p w14:paraId="0BAE32B7" w14:textId="77777777" w:rsidR="00E17876" w:rsidRPr="00EB7FB0" w:rsidRDefault="0046302B" w:rsidP="4C1CFE0F">
      <w:pPr>
        <w:pStyle w:val="ListParagraph"/>
        <w:numPr>
          <w:ilvl w:val="0"/>
          <w:numId w:val="16"/>
        </w:num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15">
        <w:r w:rsidR="00E17876" w:rsidRPr="4C1CFE0F">
          <w:rPr>
            <w:rStyle w:val="Hyperlink"/>
            <w:rFonts w:ascii="Arial" w:hAnsi="Arial" w:cs="Arial"/>
            <w:sz w:val="24"/>
            <w:szCs w:val="24"/>
          </w:rPr>
          <w:t>High Leverage Practices</w:t>
        </w:r>
      </w:hyperlink>
    </w:p>
    <w:p w14:paraId="06DA02AD" w14:textId="4A07F268" w:rsidR="001F4547" w:rsidRPr="00CA61BE" w:rsidRDefault="0046302B" w:rsidP="00E17876">
      <w:pPr>
        <w:pStyle w:val="ListParagraph"/>
        <w:numPr>
          <w:ilvl w:val="0"/>
          <w:numId w:val="16"/>
        </w:numPr>
        <w:rPr>
          <w:rStyle w:val="Hyperlink"/>
          <w:rFonts w:ascii="Arial" w:hAnsi="Arial" w:cs="Arial"/>
          <w:sz w:val="24"/>
          <w:szCs w:val="24"/>
        </w:rPr>
      </w:pPr>
      <w:hyperlink r:id="rId16">
        <w:r w:rsidR="02A3025D" w:rsidRPr="4C1CFE0F">
          <w:rPr>
            <w:rStyle w:val="Hyperlink"/>
            <w:rFonts w:ascii="Arial" w:eastAsiaTheme="minorEastAsia" w:hAnsi="Arial" w:cs="Arial"/>
            <w:sz w:val="24"/>
            <w:szCs w:val="24"/>
          </w:rPr>
          <w:t>AFIRM Naturalistic Intervention Module</w:t>
        </w:r>
      </w:hyperlink>
    </w:p>
    <w:p w14:paraId="4C715914" w14:textId="326B0BDE" w:rsidR="02A3025D" w:rsidRDefault="0046302B" w:rsidP="4C1CFE0F">
      <w:pPr>
        <w:pStyle w:val="ListParagraph"/>
        <w:numPr>
          <w:ilvl w:val="0"/>
          <w:numId w:val="16"/>
        </w:numPr>
        <w:rPr>
          <w:rStyle w:val="Hyperlink"/>
          <w:rFonts w:ascii="Arial" w:hAnsi="Arial" w:cs="Arial"/>
          <w:sz w:val="24"/>
          <w:szCs w:val="24"/>
        </w:rPr>
      </w:pPr>
      <w:hyperlink r:id="rId17">
        <w:r w:rsidR="02A3025D" w:rsidRPr="4C1CFE0F">
          <w:rPr>
            <w:rStyle w:val="Hyperlink"/>
            <w:rFonts w:ascii="Arial" w:hAnsi="Arial" w:cs="Arial"/>
            <w:sz w:val="24"/>
            <w:szCs w:val="24"/>
          </w:rPr>
          <w:t>Cognitive Connections</w:t>
        </w:r>
      </w:hyperlink>
    </w:p>
    <w:p w14:paraId="6B108B45" w14:textId="5CC88CEC" w:rsidR="4B3818D5" w:rsidRDefault="0046302B" w:rsidP="4C1CFE0F">
      <w:pPr>
        <w:pStyle w:val="ListParagraph"/>
        <w:numPr>
          <w:ilvl w:val="0"/>
          <w:numId w:val="16"/>
        </w:numPr>
        <w:rPr>
          <w:rStyle w:val="Hyperlink"/>
          <w:rFonts w:ascii="Arial" w:hAnsi="Arial" w:cs="Arial"/>
          <w:sz w:val="24"/>
          <w:szCs w:val="24"/>
        </w:rPr>
      </w:pPr>
      <w:hyperlink r:id="rId18">
        <w:r w:rsidR="4B3818D5" w:rsidRPr="4C1CFE0F">
          <w:rPr>
            <w:rStyle w:val="Hyperlink"/>
            <w:rFonts w:ascii="Arial" w:hAnsi="Arial" w:cs="Arial"/>
            <w:sz w:val="24"/>
            <w:szCs w:val="24"/>
          </w:rPr>
          <w:t>Behavior Nation</w:t>
        </w:r>
      </w:hyperlink>
    </w:p>
    <w:p w14:paraId="2E8FD466" w14:textId="77777777" w:rsidR="0035083A" w:rsidRDefault="0035083A" w:rsidP="0046302B">
      <w:pPr>
        <w:pStyle w:val="Heading2"/>
      </w:pPr>
      <w:r w:rsidRPr="00EB7FB0">
        <w:t xml:space="preserve">Find additional HLP Highlight Tools on </w:t>
      </w:r>
      <w:hyperlink r:id="rId19" w:history="1">
        <w:r w:rsidRPr="00EB7FB0">
          <w:rPr>
            <w:rStyle w:val="Hyperlink"/>
          </w:rPr>
          <w:t>TTAC Online</w:t>
        </w:r>
      </w:hyperlink>
      <w:r w:rsidRPr="00EB7FB0">
        <w:t>.</w:t>
      </w:r>
      <w:bookmarkStart w:id="1" w:name="_Hlk97276673"/>
      <w:r w:rsidRPr="00EB7FB0">
        <w:t xml:space="preserve"> </w:t>
      </w:r>
    </w:p>
    <w:p w14:paraId="5ED428D7" w14:textId="3D0038DA" w:rsidR="0035083A" w:rsidRPr="00EB7FB0" w:rsidRDefault="0035083A" w:rsidP="0035083A">
      <w:pPr>
        <w:contextualSpacing/>
        <w:rPr>
          <w:rFonts w:ascii="Arial" w:hAnsi="Arial" w:cs="Arial"/>
          <w:sz w:val="24"/>
          <w:szCs w:val="24"/>
        </w:rPr>
      </w:pPr>
      <w:r w:rsidRPr="4C1CFE0F">
        <w:rPr>
          <w:rFonts w:ascii="Arial" w:hAnsi="Arial" w:cs="Arial"/>
          <w:sz w:val="24"/>
          <w:szCs w:val="24"/>
        </w:rPr>
        <w:t>For additi</w:t>
      </w:r>
      <w:r w:rsidR="0046302B">
        <w:rPr>
          <w:rFonts w:ascii="Arial" w:hAnsi="Arial" w:cs="Arial"/>
          <w:sz w:val="24"/>
          <w:szCs w:val="24"/>
        </w:rPr>
        <w:t>o</w:t>
      </w:r>
      <w:r w:rsidRPr="4C1CFE0F">
        <w:rPr>
          <w:rFonts w:ascii="Arial" w:hAnsi="Arial" w:cs="Arial"/>
          <w:sz w:val="24"/>
          <w:szCs w:val="24"/>
        </w:rPr>
        <w:t xml:space="preserve">nal information about TTAC Region 4, go to </w:t>
      </w:r>
      <w:hyperlink r:id="rId20">
        <w:r w:rsidRPr="4C1CFE0F">
          <w:rPr>
            <w:rStyle w:val="Hyperlink"/>
            <w:rFonts w:ascii="Arial" w:hAnsi="Arial" w:cs="Arial"/>
            <w:sz w:val="24"/>
            <w:szCs w:val="24"/>
          </w:rPr>
          <w:t>https://ttac.gmu.edu/</w:t>
        </w:r>
      </w:hyperlink>
      <w:r w:rsidRPr="4C1CFE0F">
        <w:rPr>
          <w:rFonts w:ascii="Arial" w:hAnsi="Arial" w:cs="Arial"/>
          <w:sz w:val="24"/>
          <w:szCs w:val="24"/>
        </w:rPr>
        <w:t xml:space="preserve">. </w:t>
      </w:r>
      <w:bookmarkEnd w:id="1"/>
    </w:p>
    <w:p w14:paraId="5D58AD9C" w14:textId="77777777" w:rsidR="002504C5" w:rsidRPr="002B57EF" w:rsidRDefault="002504C5" w:rsidP="002B57EF">
      <w:pPr>
        <w:pStyle w:val="Heading2"/>
      </w:pPr>
      <w:r w:rsidRPr="002B57EF">
        <w:t>References</w:t>
      </w:r>
    </w:p>
    <w:p w14:paraId="2E093442" w14:textId="76A50175" w:rsidR="002504C5" w:rsidRPr="002B57EF" w:rsidRDefault="002504C5" w:rsidP="0046302B">
      <w:pPr>
        <w:widowControl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2B57EF">
        <w:rPr>
          <w:rFonts w:ascii="Arial" w:hAnsi="Arial" w:cs="Arial"/>
          <w:sz w:val="24"/>
          <w:szCs w:val="24"/>
        </w:rPr>
        <w:t>Aceves, T. C.</w:t>
      </w:r>
      <w:r w:rsidR="002B57EF">
        <w:rPr>
          <w:rFonts w:ascii="Arial" w:hAnsi="Arial" w:cs="Arial"/>
          <w:sz w:val="24"/>
          <w:szCs w:val="24"/>
        </w:rPr>
        <w:t xml:space="preserve">, &amp; </w:t>
      </w:r>
      <w:r w:rsidRPr="002B57EF">
        <w:rPr>
          <w:rFonts w:ascii="Arial" w:hAnsi="Arial" w:cs="Arial"/>
          <w:sz w:val="24"/>
          <w:szCs w:val="24"/>
        </w:rPr>
        <w:t xml:space="preserve">Kennedy, M. J. (Eds.) (2024, February). </w:t>
      </w:r>
      <w:r w:rsidRPr="002B57EF">
        <w:rPr>
          <w:rFonts w:ascii="Arial" w:hAnsi="Arial" w:cs="Arial"/>
          <w:i/>
          <w:iCs/>
          <w:sz w:val="24"/>
          <w:szCs w:val="24"/>
        </w:rPr>
        <w:t xml:space="preserve">High-leverage practices for students with disabilities. </w:t>
      </w:r>
      <w:r w:rsidRPr="002B57EF">
        <w:rPr>
          <w:rFonts w:ascii="Arial" w:hAnsi="Arial" w:cs="Arial"/>
          <w:sz w:val="24"/>
          <w:szCs w:val="24"/>
        </w:rPr>
        <w:t>2</w:t>
      </w:r>
      <w:r w:rsidRPr="002B57EF">
        <w:rPr>
          <w:rFonts w:ascii="Arial" w:hAnsi="Arial" w:cs="Arial"/>
          <w:sz w:val="24"/>
          <w:szCs w:val="24"/>
          <w:vertAlign w:val="superscript"/>
        </w:rPr>
        <w:t>nd</w:t>
      </w:r>
      <w:r w:rsidRPr="002B57EF">
        <w:rPr>
          <w:rFonts w:ascii="Arial" w:hAnsi="Arial" w:cs="Arial"/>
          <w:sz w:val="24"/>
          <w:szCs w:val="24"/>
        </w:rPr>
        <w:t xml:space="preserve"> edition. Arlington, VA: Council for Exceptional Children and CEEDAR Center.</w:t>
      </w:r>
    </w:p>
    <w:p w14:paraId="23F1D996" w14:textId="1A58B53A" w:rsidR="00E17876" w:rsidRPr="002B57EF" w:rsidRDefault="002504C5" w:rsidP="00FE3A1E">
      <w:pPr>
        <w:widowControl w:val="0"/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spellStart"/>
      <w:r w:rsidRPr="002B57EF">
        <w:rPr>
          <w:rFonts w:ascii="Arial" w:hAnsi="Arial" w:cs="Arial"/>
          <w:sz w:val="24"/>
          <w:szCs w:val="24"/>
        </w:rPr>
        <w:t>McLeskey</w:t>
      </w:r>
      <w:proofErr w:type="spellEnd"/>
      <w:r w:rsidRPr="002B57EF">
        <w:rPr>
          <w:rFonts w:ascii="Arial" w:hAnsi="Arial" w:cs="Arial"/>
          <w:sz w:val="24"/>
          <w:szCs w:val="24"/>
        </w:rPr>
        <w:t xml:space="preserve">, J. (Ed.). (2019). </w:t>
      </w:r>
      <w:r w:rsidRPr="002B57EF">
        <w:rPr>
          <w:rFonts w:ascii="Arial" w:hAnsi="Arial" w:cs="Arial"/>
          <w:i/>
          <w:sz w:val="24"/>
          <w:szCs w:val="24"/>
        </w:rPr>
        <w:t>High leverage practices for inclusive classrooms</w:t>
      </w:r>
      <w:r w:rsidRPr="002B57EF">
        <w:rPr>
          <w:rFonts w:ascii="Arial" w:hAnsi="Arial" w:cs="Arial"/>
          <w:sz w:val="24"/>
          <w:szCs w:val="24"/>
        </w:rPr>
        <w:t>. New York: Routledge.</w:t>
      </w:r>
    </w:p>
    <w:sectPr w:rsidR="00E17876" w:rsidRPr="002B57EF" w:rsidSect="002D450E"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81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42DCD" w14:textId="77777777" w:rsidR="00761860" w:rsidRDefault="00761860" w:rsidP="006C5183">
      <w:pPr>
        <w:spacing w:after="0" w:line="240" w:lineRule="auto"/>
      </w:pPr>
      <w:r>
        <w:separator/>
      </w:r>
    </w:p>
  </w:endnote>
  <w:endnote w:type="continuationSeparator" w:id="0">
    <w:p w14:paraId="3AE6AB09" w14:textId="77777777" w:rsidR="00761860" w:rsidRDefault="00761860" w:rsidP="006C5183">
      <w:pPr>
        <w:spacing w:after="0" w:line="240" w:lineRule="auto"/>
      </w:pPr>
      <w:r>
        <w:continuationSeparator/>
      </w:r>
    </w:p>
  </w:endnote>
  <w:endnote w:type="continuationNotice" w:id="1">
    <w:p w14:paraId="2A9CD40E" w14:textId="77777777" w:rsidR="00761860" w:rsidRDefault="007618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8E40A" w14:textId="6B9416E2" w:rsidR="00C473C9" w:rsidRDefault="0014672E">
    <w:pPr>
      <w:pStyle w:val="Foo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2B3EDE67" wp14:editId="58372FC2">
          <wp:extent cx="5943600" cy="301625"/>
          <wp:effectExtent l="0" t="0" r="0" b="3175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079C0" w14:textId="691CEADD" w:rsidR="00B018C8" w:rsidRDefault="00B01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A85C3" w14:textId="77777777" w:rsidR="00761860" w:rsidRDefault="00761860" w:rsidP="006C5183">
      <w:pPr>
        <w:spacing w:after="0" w:line="240" w:lineRule="auto"/>
      </w:pPr>
      <w:r>
        <w:separator/>
      </w:r>
    </w:p>
  </w:footnote>
  <w:footnote w:type="continuationSeparator" w:id="0">
    <w:p w14:paraId="38390130" w14:textId="77777777" w:rsidR="00761860" w:rsidRDefault="00761860" w:rsidP="006C5183">
      <w:pPr>
        <w:spacing w:after="0" w:line="240" w:lineRule="auto"/>
      </w:pPr>
      <w:r>
        <w:continuationSeparator/>
      </w:r>
    </w:p>
  </w:footnote>
  <w:footnote w:type="continuationNotice" w:id="1">
    <w:p w14:paraId="610245AF" w14:textId="77777777" w:rsidR="00761860" w:rsidRDefault="007618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8F32D" w14:textId="257FE654" w:rsidR="00B018C8" w:rsidRDefault="00B018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A2E80" w14:textId="727B8BB9" w:rsidR="00B018C8" w:rsidRDefault="00B01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755"/>
    <w:multiLevelType w:val="hybridMultilevel"/>
    <w:tmpl w:val="F86613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2E00"/>
    <w:multiLevelType w:val="hybridMultilevel"/>
    <w:tmpl w:val="07D2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8A4"/>
    <w:multiLevelType w:val="hybridMultilevel"/>
    <w:tmpl w:val="62D861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A27E5"/>
    <w:multiLevelType w:val="hybridMultilevel"/>
    <w:tmpl w:val="7700A2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45E2F"/>
    <w:multiLevelType w:val="hybridMultilevel"/>
    <w:tmpl w:val="C7208F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50B7D"/>
    <w:multiLevelType w:val="hybridMultilevel"/>
    <w:tmpl w:val="C07CD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4A753A"/>
    <w:multiLevelType w:val="hybridMultilevel"/>
    <w:tmpl w:val="0E32D8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52E01"/>
    <w:multiLevelType w:val="hybridMultilevel"/>
    <w:tmpl w:val="C160075C"/>
    <w:lvl w:ilvl="0" w:tplc="A65C93F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941AD"/>
    <w:multiLevelType w:val="hybridMultilevel"/>
    <w:tmpl w:val="B78E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93527"/>
    <w:multiLevelType w:val="hybridMultilevel"/>
    <w:tmpl w:val="B5DE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37210"/>
    <w:multiLevelType w:val="hybridMultilevel"/>
    <w:tmpl w:val="31EA4EEA"/>
    <w:lvl w:ilvl="0" w:tplc="EF6CA7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A5738"/>
    <w:multiLevelType w:val="hybridMultilevel"/>
    <w:tmpl w:val="9D2E9AD6"/>
    <w:lvl w:ilvl="0" w:tplc="73727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D572E"/>
    <w:multiLevelType w:val="hybridMultilevel"/>
    <w:tmpl w:val="4CF27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D5EA8"/>
    <w:multiLevelType w:val="hybridMultilevel"/>
    <w:tmpl w:val="38EA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64ACA"/>
    <w:multiLevelType w:val="hybridMultilevel"/>
    <w:tmpl w:val="D9C0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90D5D"/>
    <w:multiLevelType w:val="hybridMultilevel"/>
    <w:tmpl w:val="C640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A259E"/>
    <w:multiLevelType w:val="hybridMultilevel"/>
    <w:tmpl w:val="CA62A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A5CF2"/>
    <w:multiLevelType w:val="hybridMultilevel"/>
    <w:tmpl w:val="059E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36BA2"/>
    <w:multiLevelType w:val="hybridMultilevel"/>
    <w:tmpl w:val="DA56C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0"/>
  </w:num>
  <w:num w:numId="14">
    <w:abstractNumId w:val="18"/>
  </w:num>
  <w:num w:numId="15">
    <w:abstractNumId w:val="16"/>
  </w:num>
  <w:num w:numId="16">
    <w:abstractNumId w:val="11"/>
  </w:num>
  <w:num w:numId="17">
    <w:abstractNumId w:val="14"/>
  </w:num>
  <w:num w:numId="18">
    <w:abstractNumId w:val="17"/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03ECA"/>
    <w:rsid w:val="00005759"/>
    <w:rsid w:val="00006CC4"/>
    <w:rsid w:val="000A015B"/>
    <w:rsid w:val="00101FBF"/>
    <w:rsid w:val="0010508A"/>
    <w:rsid w:val="0014672E"/>
    <w:rsid w:val="00153F9A"/>
    <w:rsid w:val="0015404D"/>
    <w:rsid w:val="00156ECF"/>
    <w:rsid w:val="001C25A6"/>
    <w:rsid w:val="001F3035"/>
    <w:rsid w:val="001F4547"/>
    <w:rsid w:val="00230C96"/>
    <w:rsid w:val="002504C5"/>
    <w:rsid w:val="002944B5"/>
    <w:rsid w:val="002B57EF"/>
    <w:rsid w:val="002C12A0"/>
    <w:rsid w:val="002D450E"/>
    <w:rsid w:val="002E7456"/>
    <w:rsid w:val="00317B58"/>
    <w:rsid w:val="0035083A"/>
    <w:rsid w:val="00390C7E"/>
    <w:rsid w:val="003C2AC8"/>
    <w:rsid w:val="003F4870"/>
    <w:rsid w:val="0041054E"/>
    <w:rsid w:val="00422604"/>
    <w:rsid w:val="0045637F"/>
    <w:rsid w:val="0046302B"/>
    <w:rsid w:val="00482754"/>
    <w:rsid w:val="004F48F1"/>
    <w:rsid w:val="0050469F"/>
    <w:rsid w:val="005529E5"/>
    <w:rsid w:val="005B016B"/>
    <w:rsid w:val="005E4AB1"/>
    <w:rsid w:val="00601573"/>
    <w:rsid w:val="00621BEF"/>
    <w:rsid w:val="00630EEC"/>
    <w:rsid w:val="006C5183"/>
    <w:rsid w:val="007263B3"/>
    <w:rsid w:val="00761860"/>
    <w:rsid w:val="00791D91"/>
    <w:rsid w:val="007B43A4"/>
    <w:rsid w:val="008B06CB"/>
    <w:rsid w:val="008B7BD3"/>
    <w:rsid w:val="008E631E"/>
    <w:rsid w:val="009036F1"/>
    <w:rsid w:val="00916260"/>
    <w:rsid w:val="00946F00"/>
    <w:rsid w:val="00961D0E"/>
    <w:rsid w:val="009937A8"/>
    <w:rsid w:val="009B7727"/>
    <w:rsid w:val="009E5860"/>
    <w:rsid w:val="009F5680"/>
    <w:rsid w:val="00A014E0"/>
    <w:rsid w:val="00A17F73"/>
    <w:rsid w:val="00A4226C"/>
    <w:rsid w:val="00A80026"/>
    <w:rsid w:val="00A81979"/>
    <w:rsid w:val="00AA1CA8"/>
    <w:rsid w:val="00AB5242"/>
    <w:rsid w:val="00B018C8"/>
    <w:rsid w:val="00B71977"/>
    <w:rsid w:val="00BB523A"/>
    <w:rsid w:val="00BB6A39"/>
    <w:rsid w:val="00BD7AA9"/>
    <w:rsid w:val="00C166A9"/>
    <w:rsid w:val="00C359DC"/>
    <w:rsid w:val="00C473C9"/>
    <w:rsid w:val="00C64040"/>
    <w:rsid w:val="00C8341E"/>
    <w:rsid w:val="00CA3650"/>
    <w:rsid w:val="00CA61BE"/>
    <w:rsid w:val="00CB0CBF"/>
    <w:rsid w:val="00D0613B"/>
    <w:rsid w:val="00D179EF"/>
    <w:rsid w:val="00D40630"/>
    <w:rsid w:val="00D655CD"/>
    <w:rsid w:val="00D73309"/>
    <w:rsid w:val="00DA2486"/>
    <w:rsid w:val="00DF1121"/>
    <w:rsid w:val="00DF79F0"/>
    <w:rsid w:val="00E046F8"/>
    <w:rsid w:val="00E17876"/>
    <w:rsid w:val="00E24FA4"/>
    <w:rsid w:val="00E64ADC"/>
    <w:rsid w:val="00EB7FB0"/>
    <w:rsid w:val="00ED41A2"/>
    <w:rsid w:val="00F37961"/>
    <w:rsid w:val="00F56F60"/>
    <w:rsid w:val="00F72B06"/>
    <w:rsid w:val="00FD319F"/>
    <w:rsid w:val="00FD56AE"/>
    <w:rsid w:val="00FE3A1E"/>
    <w:rsid w:val="00FE7BF3"/>
    <w:rsid w:val="02A3025D"/>
    <w:rsid w:val="071B37F5"/>
    <w:rsid w:val="0A67C947"/>
    <w:rsid w:val="15109530"/>
    <w:rsid w:val="2A75C338"/>
    <w:rsid w:val="4AC3A397"/>
    <w:rsid w:val="4B3818D5"/>
    <w:rsid w:val="4C1CFE0F"/>
    <w:rsid w:val="5513AFE9"/>
    <w:rsid w:val="616835D4"/>
    <w:rsid w:val="61754019"/>
    <w:rsid w:val="6291CD61"/>
    <w:rsid w:val="6A798374"/>
    <w:rsid w:val="6EE6777F"/>
    <w:rsid w:val="718E7D56"/>
    <w:rsid w:val="76E2EA7B"/>
    <w:rsid w:val="772CAA8E"/>
    <w:rsid w:val="7BBA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876"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7EF"/>
    <w:pPr>
      <w:keepNext/>
      <w:keepLines/>
      <w:spacing w:before="40" w:after="0"/>
      <w:outlineLvl w:val="1"/>
    </w:pPr>
    <w:rPr>
      <w:rFonts w:ascii="Arial" w:eastAsiaTheme="majorEastAsia" w:hAnsi="Arial" w:cs="Arial"/>
      <w:b/>
      <w:color w:val="262626" w:themeColor="text1" w:themeTint="D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B57EF"/>
    <w:rPr>
      <w:rFonts w:ascii="Arial" w:eastAsiaTheme="majorEastAsia" w:hAnsi="Arial" w:cs="Arial"/>
      <w:b/>
      <w:color w:val="262626" w:themeColor="text1" w:themeTint="D9"/>
      <w:sz w:val="24"/>
      <w:szCs w:val="24"/>
    </w:rPr>
  </w:style>
  <w:style w:type="paragraph" w:customStyle="1" w:styleId="Default">
    <w:name w:val="Default"/>
    <w:rsid w:val="00E178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1Light">
    <w:name w:val="Grid Table 1 Light"/>
    <w:basedOn w:val="TableNormal"/>
    <w:uiPriority w:val="46"/>
    <w:rsid w:val="00E178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014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ighleveragepractices.org/sites/default/files/2023-10/HLP%20Faculty%20Guides%20-%20HLP%2021.pdf" TargetMode="External"/><Relationship Id="rId18" Type="http://schemas.openxmlformats.org/officeDocument/2006/relationships/hyperlink" Target="https://www.behaviornation.com/blog/enhance-your-childs-skills-in-various-settings-with-generalization-and-maintenanc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exceptionalchildren.org/sites/default/files/2021-01/HLP%2021%20Admin%20Guide.pdf?_gl=1*tiuodb*_ga*MTg0OTkzNTU0OC4xNzExNTU0Njc1*_ga_L4ZFTNESGT*MTcxMzk3NjEwOS41LjEuMTcxMzk3NjExOC41MS4wLjA." TargetMode="External"/><Relationship Id="rId17" Type="http://schemas.openxmlformats.org/officeDocument/2006/relationships/hyperlink" Target="https://www.efpractice.com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firm.fpg.unc.edu/naturalistic-intervention" TargetMode="External"/><Relationship Id="rId20" Type="http://schemas.openxmlformats.org/officeDocument/2006/relationships/hyperlink" Target="https://ttac.gmu.ed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highleveragepractices.org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ttaconline.org/Resource/JWHaEa5BS75BpXRi_D6u2A/Resource-hlp-highlight-tools-1-2-3-4-5-6-7-8-9-10-11-12-13-14-15-16-17-18-19-20-21-2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meo.com/563774414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8" ma:contentTypeDescription="Create a new document." ma:contentTypeScope="" ma:versionID="95b0b4d38ecaaeda3c3ecc47f8108cdb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2cc3281ab0c7209939bb8df54d7d8b6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8446F-4412-4161-9939-A290AE649C02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67ced3dd-177e-454b-b64a-ad68f0d994e1"/>
    <ds:schemaRef ds:uri="http://schemas.openxmlformats.org/package/2006/metadata/core-properties"/>
    <ds:schemaRef ds:uri="e57f6c35-541a-4073-a2f6-49dc8be0127c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FB8AF4E-C2E8-47CC-9BA0-93A2DEC44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0A5854-6189-4E7A-8590-AE839997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6</cp:revision>
  <dcterms:created xsi:type="dcterms:W3CDTF">2024-05-01T21:35:00Z</dcterms:created>
  <dcterms:modified xsi:type="dcterms:W3CDTF">2024-05-02T19:40:00Z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  <property fmtid="{D5CDD505-2E9C-101B-9397-08002B2CF9AE}" pid="3" name="GrammarlyDocumentId">
    <vt:lpwstr>c3752324900392915d8362919996cbe6809ef8cff69f60023c967e2ed736a349</vt:lpwstr>
  </property>
</Properties>
</file>