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736F291F" w:rsidR="00D01E29" w:rsidRDefault="00421B3E" w:rsidP="3842F6E9">
      <w:pPr>
        <w:jc w:val="center"/>
      </w:pPr>
      <w:r>
        <w:rPr>
          <w:noProof/>
        </w:rPr>
        <w:drawing>
          <wp:inline distT="0" distB="0" distL="0" distR="0" wp14:anchorId="520AD5DC" wp14:editId="436519F3">
            <wp:extent cx="6858635" cy="1548765"/>
            <wp:effectExtent l="0" t="0" r="0" b="0"/>
            <wp:docPr id="1" name="Picture 1" descr="VDOE Region 4 Training and Technical Assistance Center at George Mason University banner, https://ttac.gmu.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635" cy="1548765"/>
                    </a:xfrm>
                    <a:prstGeom prst="rect">
                      <a:avLst/>
                    </a:prstGeom>
                    <a:noFill/>
                  </pic:spPr>
                </pic:pic>
              </a:graphicData>
            </a:graphic>
          </wp:inline>
        </w:drawing>
      </w:r>
    </w:p>
    <w:p w14:paraId="0A4D9DE0" w14:textId="09F4525B" w:rsidR="00E33CDD" w:rsidRDefault="00E33CDD" w:rsidP="00E33CDD">
      <w:pPr>
        <w:pStyle w:val="Heading1"/>
        <w:jc w:val="center"/>
        <w:rPr>
          <w:b/>
          <w:bCs/>
          <w:sz w:val="28"/>
          <w:szCs w:val="28"/>
        </w:rPr>
      </w:pPr>
      <w:r>
        <w:rPr>
          <w:b/>
          <w:bCs/>
          <w:sz w:val="28"/>
          <w:szCs w:val="28"/>
        </w:rPr>
        <w:t>High Leverage Practices for Inclusive Classrooms</w:t>
      </w:r>
    </w:p>
    <w:p w14:paraId="403AF72D" w14:textId="7D081391" w:rsidR="00597E43" w:rsidRPr="008B7581" w:rsidRDefault="00597E43" w:rsidP="00E33CDD">
      <w:pPr>
        <w:rPr>
          <w:sz w:val="24"/>
          <w:szCs w:val="24"/>
        </w:rPr>
      </w:pPr>
    </w:p>
    <w:tbl>
      <w:tblPr>
        <w:tblStyle w:val="TableGridLight"/>
        <w:tblW w:w="10530" w:type="dxa"/>
        <w:tblInd w:w="175" w:type="dxa"/>
        <w:tblLayout w:type="fixed"/>
        <w:tblLook w:val="0620" w:firstRow="1" w:lastRow="0" w:firstColumn="0" w:lastColumn="0" w:noHBand="1" w:noVBand="1"/>
      </w:tblPr>
      <w:tblGrid>
        <w:gridCol w:w="4950"/>
        <w:gridCol w:w="5580"/>
      </w:tblGrid>
      <w:tr w:rsidR="00E33CDD" w:rsidRPr="00FB68A5" w14:paraId="1919E973" w14:textId="77777777" w:rsidTr="00E33CDD">
        <w:trPr>
          <w:trHeight w:val="363"/>
        </w:trPr>
        <w:tc>
          <w:tcPr>
            <w:tcW w:w="4950" w:type="dxa"/>
          </w:tcPr>
          <w:p w14:paraId="00000008" w14:textId="14BF7A1E" w:rsidR="00E33CDD" w:rsidRPr="00E33CDD" w:rsidRDefault="00E33CDD" w:rsidP="00E33CDD">
            <w:pPr>
              <w:widowControl w:val="0"/>
              <w:jc w:val="center"/>
              <w:rPr>
                <w:rFonts w:eastAsia="Didact Gothic"/>
                <w:b/>
                <w:sz w:val="28"/>
                <w:szCs w:val="28"/>
              </w:rPr>
            </w:pPr>
            <w:r w:rsidRPr="00E33CDD">
              <w:rPr>
                <w:rFonts w:eastAsia="Didact Gothic"/>
                <w:b/>
                <w:sz w:val="28"/>
                <w:szCs w:val="28"/>
              </w:rPr>
              <w:t>Resource</w:t>
            </w:r>
            <w:r w:rsidR="00423DA1">
              <w:rPr>
                <w:rFonts w:eastAsia="Didact Gothic"/>
                <w:b/>
                <w:sz w:val="28"/>
                <w:szCs w:val="28"/>
              </w:rPr>
              <w:t>s</w:t>
            </w:r>
          </w:p>
        </w:tc>
        <w:tc>
          <w:tcPr>
            <w:tcW w:w="5580" w:type="dxa"/>
          </w:tcPr>
          <w:p w14:paraId="0000000B" w14:textId="61159B93" w:rsidR="00E33CDD" w:rsidRPr="00E33CDD" w:rsidRDefault="00E33CDD" w:rsidP="00E33CDD">
            <w:pPr>
              <w:jc w:val="center"/>
              <w:rPr>
                <w:rFonts w:eastAsia="Didact Gothic"/>
                <w:b/>
                <w:sz w:val="28"/>
                <w:szCs w:val="28"/>
              </w:rPr>
            </w:pPr>
            <w:r w:rsidRPr="00E33CDD">
              <w:rPr>
                <w:rFonts w:eastAsia="Didact Gothic"/>
                <w:b/>
                <w:sz w:val="28"/>
                <w:szCs w:val="28"/>
              </w:rPr>
              <w:t>Description</w:t>
            </w:r>
          </w:p>
        </w:tc>
      </w:tr>
      <w:tr w:rsidR="00E33CDD" w:rsidRPr="00FB68A5" w14:paraId="3BB3A4F5" w14:textId="77777777" w:rsidTr="00E33CDD">
        <w:trPr>
          <w:trHeight w:val="720"/>
        </w:trPr>
        <w:tc>
          <w:tcPr>
            <w:tcW w:w="4950" w:type="dxa"/>
          </w:tcPr>
          <w:p w14:paraId="2C32D71D" w14:textId="77777777" w:rsidR="00625105" w:rsidRDefault="00625105" w:rsidP="00625105">
            <w:pPr>
              <w:jc w:val="center"/>
              <w:rPr>
                <w:rFonts w:eastAsia="Didact Gothic"/>
                <w:sz w:val="24"/>
                <w:szCs w:val="24"/>
              </w:rPr>
            </w:pPr>
          </w:p>
          <w:p w14:paraId="0000000C" w14:textId="4633726B" w:rsidR="00E33CDD" w:rsidRPr="00625105" w:rsidRDefault="0053610D" w:rsidP="00625105">
            <w:pPr>
              <w:jc w:val="center"/>
              <w:rPr>
                <w:rFonts w:eastAsia="Didact Gothic"/>
                <w:b/>
                <w:sz w:val="24"/>
                <w:szCs w:val="24"/>
              </w:rPr>
            </w:pPr>
            <w:hyperlink r:id="rId10" w:history="1">
              <w:r w:rsidR="00625105" w:rsidRPr="00625105">
                <w:rPr>
                  <w:rStyle w:val="Hyperlink"/>
                  <w:rFonts w:eastAsia="Didact Gothic"/>
                  <w:b/>
                  <w:sz w:val="24"/>
                  <w:szCs w:val="24"/>
                </w:rPr>
                <w:t>HLP Highlight Tools</w:t>
              </w:r>
            </w:hyperlink>
          </w:p>
        </w:tc>
        <w:tc>
          <w:tcPr>
            <w:tcW w:w="5580" w:type="dxa"/>
          </w:tcPr>
          <w:p w14:paraId="388D3532" w14:textId="77777777" w:rsidR="00E33CDD" w:rsidRPr="00E33CDD" w:rsidRDefault="00E33CDD" w:rsidP="00E33CDD">
            <w:pPr>
              <w:widowControl w:val="0"/>
              <w:spacing w:line="276" w:lineRule="auto"/>
              <w:rPr>
                <w:rFonts w:eastAsia="Didact Gothic"/>
                <w:sz w:val="24"/>
                <w:szCs w:val="24"/>
              </w:rPr>
            </w:pPr>
            <w:r w:rsidRPr="00E33CDD">
              <w:rPr>
                <w:rFonts w:eastAsia="Didact Gothic"/>
                <w:sz w:val="24"/>
                <w:szCs w:val="24"/>
              </w:rPr>
              <w:t xml:space="preserve">Each Highlight Tool contains a brief description, </w:t>
            </w:r>
          </w:p>
          <w:p w14:paraId="0000000F" w14:textId="77DD805C" w:rsidR="00E33CDD" w:rsidRPr="00FB68A5" w:rsidRDefault="00E33CDD" w:rsidP="00E33CDD">
            <w:pPr>
              <w:widowControl w:val="0"/>
              <w:spacing w:line="276" w:lineRule="auto"/>
              <w:rPr>
                <w:rFonts w:eastAsia="Didact Gothic"/>
                <w:sz w:val="24"/>
                <w:szCs w:val="24"/>
              </w:rPr>
            </w:pPr>
            <w:r w:rsidRPr="00E33CDD">
              <w:rPr>
                <w:rFonts w:eastAsia="Didact Gothic"/>
                <w:sz w:val="24"/>
                <w:szCs w:val="24"/>
              </w:rPr>
              <w:t>video clips, suggested activities, a Plan of Action activity teachers can implement with students to help get them started, and additional resources.</w:t>
            </w:r>
          </w:p>
        </w:tc>
      </w:tr>
      <w:tr w:rsidR="00E33CDD" w:rsidRPr="00FB68A5" w14:paraId="2536ECF6" w14:textId="77777777" w:rsidTr="00E33CDD">
        <w:trPr>
          <w:trHeight w:val="720"/>
        </w:trPr>
        <w:tc>
          <w:tcPr>
            <w:tcW w:w="4950" w:type="dxa"/>
          </w:tcPr>
          <w:p w14:paraId="752FF005" w14:textId="77777777" w:rsidR="00625105" w:rsidRDefault="00625105" w:rsidP="00625105">
            <w:pPr>
              <w:jc w:val="center"/>
              <w:rPr>
                <w:rFonts w:eastAsia="Didact Gothic"/>
                <w:sz w:val="24"/>
                <w:szCs w:val="24"/>
              </w:rPr>
            </w:pPr>
          </w:p>
          <w:p w14:paraId="6E280B11" w14:textId="77777777" w:rsidR="00625105" w:rsidRDefault="00625105" w:rsidP="00625105">
            <w:pPr>
              <w:jc w:val="center"/>
              <w:rPr>
                <w:rFonts w:eastAsia="Didact Gothic"/>
                <w:sz w:val="24"/>
                <w:szCs w:val="24"/>
              </w:rPr>
            </w:pPr>
          </w:p>
          <w:p w14:paraId="7D0B28BE" w14:textId="77777777" w:rsidR="00625105" w:rsidRDefault="00625105" w:rsidP="00625105">
            <w:pPr>
              <w:jc w:val="center"/>
              <w:rPr>
                <w:rFonts w:eastAsia="Didact Gothic"/>
                <w:sz w:val="24"/>
                <w:szCs w:val="24"/>
              </w:rPr>
            </w:pPr>
          </w:p>
          <w:p w14:paraId="00000010" w14:textId="563EE460" w:rsidR="00E33CDD" w:rsidRPr="00625105" w:rsidRDefault="0053610D" w:rsidP="00625105">
            <w:pPr>
              <w:jc w:val="center"/>
              <w:rPr>
                <w:rFonts w:eastAsia="Didact Gothic"/>
                <w:b/>
                <w:sz w:val="24"/>
                <w:szCs w:val="24"/>
              </w:rPr>
            </w:pPr>
            <w:hyperlink r:id="rId11" w:history="1">
              <w:r w:rsidR="00625105" w:rsidRPr="00625105">
                <w:rPr>
                  <w:rStyle w:val="Hyperlink"/>
                  <w:rFonts w:eastAsia="Didact Gothic"/>
                  <w:b/>
                  <w:sz w:val="24"/>
                  <w:szCs w:val="24"/>
                </w:rPr>
                <w:t>HLP Leadership Guides</w:t>
              </w:r>
            </w:hyperlink>
          </w:p>
        </w:tc>
        <w:tc>
          <w:tcPr>
            <w:tcW w:w="5580" w:type="dxa"/>
          </w:tcPr>
          <w:p w14:paraId="36A64570" w14:textId="77777777" w:rsidR="00E33CDD" w:rsidRPr="00E33CDD" w:rsidRDefault="00E33CDD" w:rsidP="00E33CDD">
            <w:pPr>
              <w:widowControl w:val="0"/>
              <w:spacing w:line="276" w:lineRule="auto"/>
              <w:rPr>
                <w:rFonts w:eastAsia="Didact Gothic"/>
                <w:sz w:val="24"/>
                <w:szCs w:val="24"/>
              </w:rPr>
            </w:pPr>
            <w:r w:rsidRPr="00E33CDD">
              <w:rPr>
                <w:rFonts w:eastAsia="Didact Gothic"/>
                <w:sz w:val="24"/>
                <w:szCs w:val="24"/>
              </w:rPr>
              <w:t xml:space="preserve">These guides are intended for school leaders to </w:t>
            </w:r>
          </w:p>
          <w:p w14:paraId="23C29ACD" w14:textId="77777777" w:rsidR="00E33CDD" w:rsidRPr="00E33CDD" w:rsidRDefault="00E33CDD" w:rsidP="00E33CDD">
            <w:pPr>
              <w:widowControl w:val="0"/>
              <w:spacing w:line="276" w:lineRule="auto"/>
              <w:rPr>
                <w:rFonts w:eastAsia="Didact Gothic"/>
                <w:sz w:val="24"/>
                <w:szCs w:val="24"/>
              </w:rPr>
            </w:pPr>
            <w:r w:rsidRPr="00E33CDD">
              <w:rPr>
                <w:rFonts w:eastAsia="Didact Gothic"/>
                <w:sz w:val="24"/>
                <w:szCs w:val="24"/>
              </w:rPr>
              <w:t xml:space="preserve">support their teams in effectively implementing the </w:t>
            </w:r>
          </w:p>
          <w:p w14:paraId="7BB97E64" w14:textId="77777777" w:rsidR="00E33CDD" w:rsidRPr="00E33CDD" w:rsidRDefault="00E33CDD" w:rsidP="00E33CDD">
            <w:pPr>
              <w:widowControl w:val="0"/>
              <w:spacing w:line="276" w:lineRule="auto"/>
              <w:rPr>
                <w:rFonts w:eastAsia="Didact Gothic"/>
                <w:sz w:val="24"/>
                <w:szCs w:val="24"/>
              </w:rPr>
            </w:pPr>
            <w:r w:rsidRPr="00E33CDD">
              <w:rPr>
                <w:rFonts w:eastAsia="Didact Gothic"/>
                <w:sz w:val="24"/>
                <w:szCs w:val="24"/>
              </w:rPr>
              <w:t xml:space="preserve">High Leverage Practices in the classroom. Each </w:t>
            </w:r>
          </w:p>
          <w:p w14:paraId="00000013" w14:textId="05D5539A" w:rsidR="00E33CDD" w:rsidRPr="00FB68A5" w:rsidRDefault="00E33CDD" w:rsidP="00E33CDD">
            <w:pPr>
              <w:widowControl w:val="0"/>
              <w:spacing w:line="276" w:lineRule="auto"/>
              <w:rPr>
                <w:rFonts w:eastAsia="Didact Gothic"/>
                <w:sz w:val="24"/>
                <w:szCs w:val="24"/>
              </w:rPr>
            </w:pPr>
            <w:r w:rsidRPr="00E33CDD">
              <w:rPr>
                <w:rFonts w:eastAsia="Didact Gothic"/>
                <w:sz w:val="24"/>
                <w:szCs w:val="24"/>
              </w:rPr>
              <w:t xml:space="preserve">guide includes tips; questions to prompt </w:t>
            </w:r>
            <w:r>
              <w:rPr>
                <w:rFonts w:eastAsia="Didact Gothic"/>
                <w:sz w:val="24"/>
                <w:szCs w:val="24"/>
              </w:rPr>
              <w:t>d</w:t>
            </w:r>
            <w:r w:rsidRPr="00E33CDD">
              <w:rPr>
                <w:rFonts w:eastAsia="Didact Gothic"/>
                <w:sz w:val="24"/>
                <w:szCs w:val="24"/>
              </w:rPr>
              <w:t>iscussion, self-reflection, and feedback; observable behaviors; and references/additional resources</w:t>
            </w:r>
            <w:r>
              <w:rPr>
                <w:rFonts w:eastAsia="Didact Gothic"/>
                <w:sz w:val="24"/>
                <w:szCs w:val="24"/>
              </w:rPr>
              <w:t>.</w:t>
            </w:r>
          </w:p>
        </w:tc>
      </w:tr>
      <w:tr w:rsidR="00E33CDD" w:rsidRPr="00FB68A5" w14:paraId="27F89C20" w14:textId="77777777" w:rsidTr="00E33CDD">
        <w:trPr>
          <w:trHeight w:val="720"/>
        </w:trPr>
        <w:tc>
          <w:tcPr>
            <w:tcW w:w="4950" w:type="dxa"/>
          </w:tcPr>
          <w:p w14:paraId="0934F835" w14:textId="77777777" w:rsidR="00625105" w:rsidRDefault="00625105" w:rsidP="00625105">
            <w:pPr>
              <w:jc w:val="center"/>
              <w:rPr>
                <w:rFonts w:eastAsia="Didact Gothic"/>
                <w:sz w:val="24"/>
                <w:szCs w:val="24"/>
              </w:rPr>
            </w:pPr>
          </w:p>
          <w:p w14:paraId="5D64BDFD" w14:textId="77777777" w:rsidR="00625105" w:rsidRPr="00625105" w:rsidRDefault="00625105" w:rsidP="00625105">
            <w:pPr>
              <w:jc w:val="center"/>
              <w:rPr>
                <w:rFonts w:eastAsia="Didact Gothic"/>
                <w:b/>
                <w:sz w:val="24"/>
                <w:szCs w:val="24"/>
              </w:rPr>
            </w:pPr>
          </w:p>
          <w:p w14:paraId="00000014" w14:textId="252C2FE1" w:rsidR="00E33CDD" w:rsidRPr="00FB68A5" w:rsidRDefault="0053610D" w:rsidP="00625105">
            <w:pPr>
              <w:jc w:val="center"/>
              <w:rPr>
                <w:rFonts w:eastAsia="Didact Gothic"/>
                <w:sz w:val="24"/>
                <w:szCs w:val="24"/>
              </w:rPr>
            </w:pPr>
            <w:hyperlink r:id="rId12" w:history="1">
              <w:r w:rsidR="00625105" w:rsidRPr="00625105">
                <w:rPr>
                  <w:rStyle w:val="Hyperlink"/>
                  <w:rFonts w:eastAsia="Didact Gothic"/>
                  <w:b/>
                  <w:sz w:val="24"/>
                  <w:szCs w:val="24"/>
                </w:rPr>
                <w:t>HLP Rubrics</w:t>
              </w:r>
            </w:hyperlink>
          </w:p>
        </w:tc>
        <w:tc>
          <w:tcPr>
            <w:tcW w:w="5580" w:type="dxa"/>
          </w:tcPr>
          <w:p w14:paraId="00000017" w14:textId="78C773FB" w:rsidR="00E33CDD" w:rsidRPr="00FB68A5" w:rsidRDefault="00E33CDD" w:rsidP="00E33CDD">
            <w:pPr>
              <w:widowControl w:val="0"/>
              <w:spacing w:line="276" w:lineRule="auto"/>
              <w:rPr>
                <w:rFonts w:eastAsia="Didact Gothic"/>
                <w:sz w:val="24"/>
                <w:szCs w:val="24"/>
              </w:rPr>
            </w:pPr>
            <w:r>
              <w:rPr>
                <w:rFonts w:eastAsia="Didact Gothic"/>
                <w:sz w:val="24"/>
                <w:szCs w:val="24"/>
              </w:rPr>
              <w:t>E</w:t>
            </w:r>
            <w:r w:rsidRPr="00E33CDD">
              <w:rPr>
                <w:rFonts w:eastAsia="Didact Gothic"/>
                <w:sz w:val="24"/>
                <w:szCs w:val="24"/>
              </w:rPr>
              <w:t>ach HLP rubric identifies essential components of each HLP and the teacher behaviors that facilitate implementation. These rubrics can be used to provide meaningful feedback about areas of strength and growth related to specific HLPs.</w:t>
            </w:r>
          </w:p>
        </w:tc>
      </w:tr>
      <w:tr w:rsidR="00E33CDD" w:rsidRPr="00FB68A5" w14:paraId="6A966AC7" w14:textId="77777777" w:rsidTr="00E33CDD">
        <w:trPr>
          <w:trHeight w:val="720"/>
        </w:trPr>
        <w:tc>
          <w:tcPr>
            <w:tcW w:w="4950" w:type="dxa"/>
          </w:tcPr>
          <w:p w14:paraId="3B9E19E4" w14:textId="77777777" w:rsidR="00625105" w:rsidRDefault="00625105" w:rsidP="00625105">
            <w:pPr>
              <w:jc w:val="center"/>
              <w:rPr>
                <w:rFonts w:eastAsia="Didact Gothic"/>
                <w:sz w:val="24"/>
                <w:szCs w:val="24"/>
              </w:rPr>
            </w:pPr>
          </w:p>
          <w:p w14:paraId="20BAB137" w14:textId="77777777" w:rsidR="00625105" w:rsidRDefault="00625105" w:rsidP="00625105">
            <w:pPr>
              <w:jc w:val="center"/>
              <w:rPr>
                <w:rFonts w:eastAsia="Didact Gothic"/>
                <w:sz w:val="24"/>
                <w:szCs w:val="24"/>
              </w:rPr>
            </w:pPr>
          </w:p>
          <w:p w14:paraId="2E78FA14" w14:textId="557E4DDA" w:rsidR="00E33CDD" w:rsidRPr="00625105" w:rsidRDefault="0053610D" w:rsidP="00625105">
            <w:pPr>
              <w:jc w:val="center"/>
              <w:rPr>
                <w:rFonts w:eastAsia="Didact Gothic"/>
                <w:b/>
                <w:sz w:val="24"/>
                <w:szCs w:val="24"/>
              </w:rPr>
            </w:pPr>
            <w:hyperlink r:id="rId13" w:history="1">
              <w:r w:rsidR="00625105" w:rsidRPr="00625105">
                <w:rPr>
                  <w:rStyle w:val="Hyperlink"/>
                  <w:rFonts w:eastAsia="Didact Gothic"/>
                  <w:b/>
                  <w:sz w:val="24"/>
                  <w:szCs w:val="24"/>
                </w:rPr>
                <w:t>VA Professional Teaching Standards and HLP Crosswalk</w:t>
              </w:r>
            </w:hyperlink>
          </w:p>
          <w:p w14:paraId="00000018" w14:textId="081F291D" w:rsidR="00625105" w:rsidRPr="00FB68A5" w:rsidRDefault="00625105">
            <w:pPr>
              <w:rPr>
                <w:rFonts w:eastAsia="Didact Gothic"/>
                <w:sz w:val="24"/>
                <w:szCs w:val="24"/>
              </w:rPr>
            </w:pPr>
          </w:p>
        </w:tc>
        <w:tc>
          <w:tcPr>
            <w:tcW w:w="5580" w:type="dxa"/>
          </w:tcPr>
          <w:p w14:paraId="358DAD29" w14:textId="77777777" w:rsidR="00E33CDD" w:rsidRPr="00E33CDD" w:rsidRDefault="00E33CDD" w:rsidP="00E33CDD">
            <w:pPr>
              <w:widowControl w:val="0"/>
              <w:spacing w:line="276" w:lineRule="auto"/>
              <w:rPr>
                <w:rFonts w:eastAsia="Didact Gothic"/>
                <w:sz w:val="24"/>
                <w:szCs w:val="24"/>
              </w:rPr>
            </w:pPr>
            <w:r w:rsidRPr="00E33CDD">
              <w:rPr>
                <w:rFonts w:eastAsia="Didact Gothic"/>
                <w:sz w:val="24"/>
                <w:szCs w:val="24"/>
              </w:rPr>
              <w:t xml:space="preserve">This crosswalk aligns HLPs to each professional </w:t>
            </w:r>
          </w:p>
          <w:p w14:paraId="1738D963" w14:textId="77777777" w:rsidR="00E33CDD" w:rsidRPr="00E33CDD" w:rsidRDefault="00E33CDD" w:rsidP="00E33CDD">
            <w:pPr>
              <w:widowControl w:val="0"/>
              <w:spacing w:line="276" w:lineRule="auto"/>
              <w:rPr>
                <w:rFonts w:eastAsia="Didact Gothic"/>
                <w:sz w:val="24"/>
                <w:szCs w:val="24"/>
              </w:rPr>
            </w:pPr>
            <w:r w:rsidRPr="00E33CDD">
              <w:rPr>
                <w:rFonts w:eastAsia="Didact Gothic"/>
                <w:sz w:val="24"/>
                <w:szCs w:val="24"/>
              </w:rPr>
              <w:t xml:space="preserve">standard and provides practical resources to </w:t>
            </w:r>
          </w:p>
          <w:p w14:paraId="7AF8561F" w14:textId="77777777" w:rsidR="00E33CDD" w:rsidRPr="00E33CDD" w:rsidRDefault="00E33CDD" w:rsidP="00E33CDD">
            <w:pPr>
              <w:widowControl w:val="0"/>
              <w:spacing w:line="276" w:lineRule="auto"/>
              <w:rPr>
                <w:rFonts w:eastAsia="Didact Gothic"/>
                <w:sz w:val="24"/>
                <w:szCs w:val="24"/>
              </w:rPr>
            </w:pPr>
            <w:r w:rsidRPr="00E33CDD">
              <w:rPr>
                <w:rFonts w:eastAsia="Didact Gothic"/>
                <w:sz w:val="24"/>
                <w:szCs w:val="24"/>
              </w:rPr>
              <w:t xml:space="preserve">support implementation. School leaders can use </w:t>
            </w:r>
          </w:p>
          <w:p w14:paraId="0000001B" w14:textId="7EA36112" w:rsidR="00E33CDD" w:rsidRPr="00FB68A5" w:rsidRDefault="00E33CDD" w:rsidP="00E33CDD">
            <w:pPr>
              <w:widowControl w:val="0"/>
              <w:spacing w:line="276" w:lineRule="auto"/>
              <w:rPr>
                <w:rFonts w:eastAsia="Didact Gothic"/>
                <w:sz w:val="24"/>
                <w:szCs w:val="24"/>
              </w:rPr>
            </w:pPr>
            <w:r w:rsidRPr="00E33CDD">
              <w:rPr>
                <w:rFonts w:eastAsia="Didact Gothic"/>
                <w:sz w:val="24"/>
                <w:szCs w:val="24"/>
              </w:rPr>
              <w:t>this tool to identify teachers’ strengths and areas of growth, ultimately improving teaching practices</w:t>
            </w:r>
          </w:p>
        </w:tc>
      </w:tr>
      <w:tr w:rsidR="00E33CDD" w:rsidRPr="00FB68A5" w14:paraId="4E526C2F" w14:textId="77777777" w:rsidTr="00E33CDD">
        <w:trPr>
          <w:trHeight w:val="720"/>
        </w:trPr>
        <w:tc>
          <w:tcPr>
            <w:tcW w:w="4950" w:type="dxa"/>
          </w:tcPr>
          <w:p w14:paraId="2509916F" w14:textId="77777777" w:rsidR="00625105" w:rsidRDefault="00625105" w:rsidP="00625105">
            <w:pPr>
              <w:jc w:val="center"/>
              <w:rPr>
                <w:rFonts w:eastAsia="Didact Gothic"/>
                <w:sz w:val="24"/>
                <w:szCs w:val="24"/>
              </w:rPr>
            </w:pPr>
          </w:p>
          <w:p w14:paraId="0000001C" w14:textId="1E7F45D1" w:rsidR="00E33CDD" w:rsidRPr="00625105" w:rsidRDefault="0053610D" w:rsidP="00625105">
            <w:pPr>
              <w:jc w:val="center"/>
              <w:rPr>
                <w:rFonts w:eastAsia="Didact Gothic"/>
                <w:b/>
                <w:sz w:val="24"/>
                <w:szCs w:val="24"/>
              </w:rPr>
            </w:pPr>
            <w:hyperlink r:id="rId14" w:history="1">
              <w:r w:rsidR="00625105" w:rsidRPr="00625105">
                <w:rPr>
                  <w:rStyle w:val="Hyperlink"/>
                  <w:rFonts w:eastAsia="Didact Gothic"/>
                  <w:b/>
                  <w:sz w:val="24"/>
                  <w:szCs w:val="24"/>
                </w:rPr>
                <w:t>High Leverage Practices Website</w:t>
              </w:r>
            </w:hyperlink>
          </w:p>
        </w:tc>
        <w:tc>
          <w:tcPr>
            <w:tcW w:w="5580" w:type="dxa"/>
          </w:tcPr>
          <w:p w14:paraId="11D57E03" w14:textId="77777777" w:rsidR="00E33CDD" w:rsidRPr="00E33CDD" w:rsidRDefault="00E33CDD" w:rsidP="00E33CDD">
            <w:pPr>
              <w:widowControl w:val="0"/>
              <w:spacing w:line="276" w:lineRule="auto"/>
              <w:rPr>
                <w:rFonts w:eastAsia="Didact Gothic"/>
                <w:sz w:val="24"/>
                <w:szCs w:val="24"/>
              </w:rPr>
            </w:pPr>
            <w:r w:rsidRPr="00E33CDD">
              <w:rPr>
                <w:rFonts w:eastAsia="Didact Gothic"/>
                <w:sz w:val="24"/>
                <w:szCs w:val="24"/>
              </w:rPr>
              <w:t xml:space="preserve">This website houses information about HLPS, </w:t>
            </w:r>
          </w:p>
          <w:p w14:paraId="464FEE4A" w14:textId="77777777" w:rsidR="00E33CDD" w:rsidRPr="00E33CDD" w:rsidRDefault="00E33CDD" w:rsidP="00E33CDD">
            <w:pPr>
              <w:widowControl w:val="0"/>
              <w:spacing w:line="276" w:lineRule="auto"/>
              <w:rPr>
                <w:rFonts w:eastAsia="Didact Gothic"/>
                <w:sz w:val="24"/>
                <w:szCs w:val="24"/>
              </w:rPr>
            </w:pPr>
            <w:r w:rsidRPr="00E33CDD">
              <w:rPr>
                <w:rFonts w:eastAsia="Didact Gothic"/>
                <w:sz w:val="24"/>
                <w:szCs w:val="24"/>
              </w:rPr>
              <w:t xml:space="preserve">resources to support implementation, videos, and </w:t>
            </w:r>
          </w:p>
          <w:p w14:paraId="0000001F" w14:textId="03756561" w:rsidR="00E33CDD" w:rsidRPr="00FB68A5" w:rsidRDefault="00E33CDD" w:rsidP="00E33CDD">
            <w:pPr>
              <w:widowControl w:val="0"/>
              <w:spacing w:line="276" w:lineRule="auto"/>
              <w:rPr>
                <w:rFonts w:eastAsia="Didact Gothic"/>
                <w:sz w:val="24"/>
                <w:szCs w:val="24"/>
              </w:rPr>
            </w:pPr>
            <w:r w:rsidRPr="00E33CDD">
              <w:rPr>
                <w:rFonts w:eastAsia="Didact Gothic"/>
                <w:sz w:val="24"/>
                <w:szCs w:val="24"/>
              </w:rPr>
              <w:t>additional professional learning opportunities.</w:t>
            </w:r>
          </w:p>
        </w:tc>
      </w:tr>
      <w:tr w:rsidR="00E33CDD" w:rsidRPr="00FB68A5" w14:paraId="1EDD6592" w14:textId="77777777" w:rsidTr="00E33CDD">
        <w:trPr>
          <w:trHeight w:val="720"/>
        </w:trPr>
        <w:tc>
          <w:tcPr>
            <w:tcW w:w="4950" w:type="dxa"/>
          </w:tcPr>
          <w:p w14:paraId="27459301" w14:textId="77777777" w:rsidR="00625105" w:rsidRDefault="00625105" w:rsidP="00625105">
            <w:pPr>
              <w:jc w:val="center"/>
              <w:rPr>
                <w:rFonts w:eastAsia="Didact Gothic"/>
                <w:sz w:val="24"/>
                <w:szCs w:val="24"/>
              </w:rPr>
            </w:pPr>
          </w:p>
          <w:p w14:paraId="1EBFDFD1" w14:textId="77777777" w:rsidR="00625105" w:rsidRDefault="00625105" w:rsidP="00625105">
            <w:pPr>
              <w:rPr>
                <w:rFonts w:eastAsia="Didact Gothic"/>
                <w:sz w:val="24"/>
                <w:szCs w:val="24"/>
              </w:rPr>
            </w:pPr>
          </w:p>
          <w:p w14:paraId="00000021" w14:textId="09CC2231" w:rsidR="00E33CDD" w:rsidRPr="00625105" w:rsidRDefault="0053610D" w:rsidP="00625105">
            <w:pPr>
              <w:jc w:val="center"/>
              <w:rPr>
                <w:rFonts w:eastAsia="Didact Gothic"/>
                <w:b/>
                <w:sz w:val="24"/>
                <w:szCs w:val="24"/>
              </w:rPr>
            </w:pPr>
            <w:hyperlink r:id="rId15" w:history="1">
              <w:r w:rsidR="00625105" w:rsidRPr="00625105">
                <w:rPr>
                  <w:rStyle w:val="Hyperlink"/>
                  <w:rFonts w:eastAsia="Didact Gothic"/>
                  <w:b/>
                  <w:sz w:val="24"/>
                  <w:szCs w:val="24"/>
                </w:rPr>
                <w:t>Collection of Videos</w:t>
              </w:r>
            </w:hyperlink>
          </w:p>
        </w:tc>
        <w:tc>
          <w:tcPr>
            <w:tcW w:w="5580" w:type="dxa"/>
          </w:tcPr>
          <w:p w14:paraId="13AA890B" w14:textId="77777777" w:rsidR="00E33CDD" w:rsidRPr="00E33CDD" w:rsidRDefault="00E33CDD" w:rsidP="00E33CDD">
            <w:pPr>
              <w:widowControl w:val="0"/>
              <w:spacing w:line="276" w:lineRule="auto"/>
              <w:rPr>
                <w:rFonts w:eastAsia="Didact Gothic"/>
                <w:sz w:val="24"/>
                <w:szCs w:val="24"/>
              </w:rPr>
            </w:pPr>
            <w:r w:rsidRPr="00E33CDD">
              <w:rPr>
                <w:rFonts w:eastAsia="Didact Gothic"/>
                <w:sz w:val="24"/>
                <w:szCs w:val="24"/>
              </w:rPr>
              <w:t xml:space="preserve">Dr. Michael Kennedy, professor at University of </w:t>
            </w:r>
          </w:p>
          <w:p w14:paraId="10582E49" w14:textId="77777777" w:rsidR="00E33CDD" w:rsidRPr="00E33CDD" w:rsidRDefault="00E33CDD" w:rsidP="00E33CDD">
            <w:pPr>
              <w:widowControl w:val="0"/>
              <w:spacing w:line="276" w:lineRule="auto"/>
              <w:rPr>
                <w:rFonts w:eastAsia="Didact Gothic"/>
                <w:sz w:val="24"/>
                <w:szCs w:val="24"/>
              </w:rPr>
            </w:pPr>
            <w:r w:rsidRPr="00E33CDD">
              <w:rPr>
                <w:rFonts w:eastAsia="Didact Gothic"/>
                <w:sz w:val="24"/>
                <w:szCs w:val="24"/>
              </w:rPr>
              <w:t>Virginia, has created videos to support teachers’</w:t>
            </w:r>
          </w:p>
          <w:p w14:paraId="21F45E58" w14:textId="77777777" w:rsidR="00E33CDD" w:rsidRPr="00E33CDD" w:rsidRDefault="00E33CDD" w:rsidP="00E33CDD">
            <w:pPr>
              <w:widowControl w:val="0"/>
              <w:spacing w:line="276" w:lineRule="auto"/>
              <w:rPr>
                <w:rFonts w:eastAsia="Didact Gothic"/>
                <w:sz w:val="24"/>
                <w:szCs w:val="24"/>
              </w:rPr>
            </w:pPr>
            <w:r w:rsidRPr="00E33CDD">
              <w:rPr>
                <w:rFonts w:eastAsia="Didact Gothic"/>
                <w:sz w:val="24"/>
                <w:szCs w:val="24"/>
              </w:rPr>
              <w:t xml:space="preserve">and professionals’ knowledge and implementation </w:t>
            </w:r>
          </w:p>
          <w:p w14:paraId="00000024" w14:textId="015576C0" w:rsidR="00E33CDD" w:rsidRPr="00FB68A5" w:rsidRDefault="00E33CDD" w:rsidP="00E33CDD">
            <w:pPr>
              <w:widowControl w:val="0"/>
              <w:spacing w:line="276" w:lineRule="auto"/>
              <w:rPr>
                <w:rFonts w:eastAsia="Didact Gothic"/>
                <w:sz w:val="24"/>
                <w:szCs w:val="24"/>
              </w:rPr>
            </w:pPr>
            <w:r w:rsidRPr="00E33CDD">
              <w:rPr>
                <w:rFonts w:eastAsia="Didact Gothic"/>
                <w:sz w:val="24"/>
                <w:szCs w:val="24"/>
              </w:rPr>
              <w:t>of evidence-based and High Leverage Practices.</w:t>
            </w:r>
          </w:p>
        </w:tc>
      </w:tr>
      <w:tr w:rsidR="00E33CDD" w:rsidRPr="00FB68A5" w14:paraId="1B8B4862" w14:textId="77777777" w:rsidTr="00E33CDD">
        <w:trPr>
          <w:trHeight w:val="720"/>
        </w:trPr>
        <w:tc>
          <w:tcPr>
            <w:tcW w:w="4950" w:type="dxa"/>
          </w:tcPr>
          <w:p w14:paraId="38323E66" w14:textId="77777777" w:rsidR="00625105" w:rsidRDefault="00625105">
            <w:pPr>
              <w:rPr>
                <w:rFonts w:eastAsia="Didact Gothic"/>
                <w:sz w:val="24"/>
                <w:szCs w:val="24"/>
              </w:rPr>
            </w:pPr>
          </w:p>
          <w:p w14:paraId="180009A5" w14:textId="77777777" w:rsidR="00625105" w:rsidRDefault="00625105">
            <w:pPr>
              <w:rPr>
                <w:rFonts w:eastAsia="Didact Gothic"/>
                <w:sz w:val="24"/>
                <w:szCs w:val="24"/>
              </w:rPr>
            </w:pPr>
          </w:p>
          <w:p w14:paraId="00000025" w14:textId="1B28E151" w:rsidR="00E33CDD" w:rsidRPr="00625105" w:rsidRDefault="0053610D" w:rsidP="00423DA1">
            <w:pPr>
              <w:jc w:val="center"/>
              <w:rPr>
                <w:rFonts w:eastAsia="Didact Gothic"/>
                <w:b/>
                <w:sz w:val="24"/>
                <w:szCs w:val="24"/>
              </w:rPr>
            </w:pPr>
            <w:hyperlink r:id="rId16" w:history="1">
              <w:r w:rsidR="00625105" w:rsidRPr="00625105">
                <w:rPr>
                  <w:rStyle w:val="Hyperlink"/>
                  <w:rFonts w:eastAsia="Didact Gothic"/>
                  <w:b/>
                  <w:sz w:val="24"/>
                  <w:szCs w:val="24"/>
                </w:rPr>
                <w:t>Self-Paced Professional Learning M</w:t>
              </w:r>
              <w:bookmarkStart w:id="0" w:name="_GoBack"/>
              <w:bookmarkEnd w:id="0"/>
              <w:r w:rsidR="00625105" w:rsidRPr="00625105">
                <w:rPr>
                  <w:rStyle w:val="Hyperlink"/>
                  <w:rFonts w:eastAsia="Didact Gothic"/>
                  <w:b/>
                  <w:sz w:val="24"/>
                  <w:szCs w:val="24"/>
                </w:rPr>
                <w:t>odules</w:t>
              </w:r>
            </w:hyperlink>
          </w:p>
        </w:tc>
        <w:tc>
          <w:tcPr>
            <w:tcW w:w="5580" w:type="dxa"/>
          </w:tcPr>
          <w:p w14:paraId="1CF58518" w14:textId="095BBB0B" w:rsidR="00E33CDD" w:rsidRPr="00E33CDD" w:rsidRDefault="00E33CDD" w:rsidP="00E33CDD">
            <w:pPr>
              <w:widowControl w:val="0"/>
              <w:spacing w:line="276" w:lineRule="auto"/>
              <w:rPr>
                <w:rFonts w:eastAsia="Didact Gothic"/>
                <w:sz w:val="24"/>
                <w:szCs w:val="24"/>
              </w:rPr>
            </w:pPr>
            <w:r>
              <w:rPr>
                <w:rFonts w:eastAsia="Didact Gothic"/>
                <w:sz w:val="24"/>
                <w:szCs w:val="24"/>
              </w:rPr>
              <w:t>Vi</w:t>
            </w:r>
            <w:r w:rsidRPr="00E33CDD">
              <w:rPr>
                <w:rFonts w:eastAsia="Didact Gothic"/>
                <w:sz w:val="24"/>
                <w:szCs w:val="24"/>
              </w:rPr>
              <w:t xml:space="preserve">rtual Virginia and </w:t>
            </w:r>
            <w:r>
              <w:rPr>
                <w:rFonts w:eastAsia="Didact Gothic"/>
                <w:sz w:val="24"/>
                <w:szCs w:val="24"/>
              </w:rPr>
              <w:t xml:space="preserve">the </w:t>
            </w:r>
            <w:r w:rsidRPr="00E33CDD">
              <w:rPr>
                <w:rFonts w:eastAsia="Didact Gothic"/>
                <w:sz w:val="24"/>
                <w:szCs w:val="24"/>
              </w:rPr>
              <w:t xml:space="preserve">Training and Technical </w:t>
            </w:r>
          </w:p>
          <w:p w14:paraId="11FFB939" w14:textId="77777777" w:rsidR="00E33CDD" w:rsidRPr="00E33CDD" w:rsidRDefault="00E33CDD" w:rsidP="00E33CDD">
            <w:pPr>
              <w:widowControl w:val="0"/>
              <w:spacing w:line="276" w:lineRule="auto"/>
              <w:rPr>
                <w:rFonts w:eastAsia="Didact Gothic"/>
                <w:sz w:val="24"/>
                <w:szCs w:val="24"/>
              </w:rPr>
            </w:pPr>
            <w:r w:rsidRPr="00E33CDD">
              <w:rPr>
                <w:rFonts w:eastAsia="Didact Gothic"/>
                <w:sz w:val="24"/>
                <w:szCs w:val="24"/>
              </w:rPr>
              <w:t xml:space="preserve">Assistance Center (TTAC) at George Mason </w:t>
            </w:r>
          </w:p>
          <w:p w14:paraId="00000028" w14:textId="15F4F64C" w:rsidR="00E33CDD" w:rsidRPr="00FB68A5" w:rsidRDefault="00E33CDD" w:rsidP="00E33CDD">
            <w:pPr>
              <w:widowControl w:val="0"/>
              <w:spacing w:line="276" w:lineRule="auto"/>
              <w:rPr>
                <w:rFonts w:eastAsia="Didact Gothic"/>
                <w:sz w:val="24"/>
                <w:szCs w:val="24"/>
              </w:rPr>
            </w:pPr>
            <w:r w:rsidRPr="00E33CDD">
              <w:rPr>
                <w:rFonts w:eastAsia="Didact Gothic"/>
                <w:sz w:val="24"/>
                <w:szCs w:val="24"/>
              </w:rPr>
              <w:t>University (GMU) partnered to offer six professional learning courses about HLPs.</w:t>
            </w:r>
          </w:p>
        </w:tc>
      </w:tr>
    </w:tbl>
    <w:p w14:paraId="2EEBAE26" w14:textId="77777777" w:rsidR="00E33CDD" w:rsidRPr="00FB68A5" w:rsidRDefault="00E33CDD" w:rsidP="00E33CDD">
      <w:pPr>
        <w:rPr>
          <w:sz w:val="20"/>
          <w:szCs w:val="20"/>
        </w:rPr>
      </w:pPr>
    </w:p>
    <w:sectPr w:rsidR="00E33CDD" w:rsidRPr="00FB68A5" w:rsidSect="001823BE">
      <w:footerReference w:type="default" r:id="rId17"/>
      <w:pgSz w:w="12240" w:h="15840"/>
      <w:pgMar w:top="176" w:right="720" w:bottom="720" w:left="720" w:header="176" w:footer="2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EB287" w14:textId="77777777" w:rsidR="00EB2EA1" w:rsidRDefault="00EB2EA1">
      <w:pPr>
        <w:spacing w:line="240" w:lineRule="auto"/>
      </w:pPr>
      <w:r>
        <w:separator/>
      </w:r>
    </w:p>
  </w:endnote>
  <w:endnote w:type="continuationSeparator" w:id="0">
    <w:p w14:paraId="66B822B5" w14:textId="77777777" w:rsidR="00EB2EA1" w:rsidRDefault="00EB2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panose1 w:val="00000000000000000000"/>
    <w:charset w:val="00"/>
    <w:family w:val="swiss"/>
    <w:notTrueType/>
    <w:pitch w:val="default"/>
    <w:sig w:usb0="00000003" w:usb1="00000000" w:usb2="00000000" w:usb3="00000000" w:csb0="00000001" w:csb1="00000000"/>
  </w:font>
  <w:font w:name="Didact Gothic">
    <w:altName w:val="Calibri"/>
    <w:charset w:val="00"/>
    <w:family w:val="auto"/>
    <w:pitch w:val="variable"/>
    <w:sig w:usb0="600002C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BBFB" w14:textId="07D66F11" w:rsidR="3842F6E9" w:rsidRDefault="00C20948" w:rsidP="3842F6E9">
    <w:pPr>
      <w:pStyle w:val="Footer"/>
    </w:pPr>
    <w:r>
      <w:rPr>
        <w:noProof/>
      </w:rPr>
      <w:drawing>
        <wp:inline distT="0" distB="0" distL="0" distR="0" wp14:anchorId="54F5F9D7" wp14:editId="2F0026A4">
          <wp:extent cx="6858000" cy="348615"/>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6858000" cy="348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6D492" w14:textId="77777777" w:rsidR="00EB2EA1" w:rsidRDefault="00EB2EA1">
      <w:pPr>
        <w:spacing w:line="240" w:lineRule="auto"/>
      </w:pPr>
      <w:r>
        <w:separator/>
      </w:r>
    </w:p>
  </w:footnote>
  <w:footnote w:type="continuationSeparator" w:id="0">
    <w:p w14:paraId="312513F4" w14:textId="77777777" w:rsidR="00EB2EA1" w:rsidRDefault="00EB2E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29"/>
    <w:rsid w:val="000C5A39"/>
    <w:rsid w:val="001823BE"/>
    <w:rsid w:val="002A4B64"/>
    <w:rsid w:val="003B4534"/>
    <w:rsid w:val="00421B3E"/>
    <w:rsid w:val="00423DA1"/>
    <w:rsid w:val="0053610D"/>
    <w:rsid w:val="00574D45"/>
    <w:rsid w:val="00597E43"/>
    <w:rsid w:val="00625105"/>
    <w:rsid w:val="007707A9"/>
    <w:rsid w:val="007C170C"/>
    <w:rsid w:val="00810216"/>
    <w:rsid w:val="008A38A9"/>
    <w:rsid w:val="008B7581"/>
    <w:rsid w:val="00A75B1C"/>
    <w:rsid w:val="00C20948"/>
    <w:rsid w:val="00C65499"/>
    <w:rsid w:val="00D01E29"/>
    <w:rsid w:val="00E33CDD"/>
    <w:rsid w:val="00EB2EA1"/>
    <w:rsid w:val="00EB6365"/>
    <w:rsid w:val="00EF7A76"/>
    <w:rsid w:val="00F950FE"/>
    <w:rsid w:val="00FB2A28"/>
    <w:rsid w:val="00FB68A5"/>
    <w:rsid w:val="0629DBD5"/>
    <w:rsid w:val="0790D376"/>
    <w:rsid w:val="09AC5FC3"/>
    <w:rsid w:val="0B2DC1FD"/>
    <w:rsid w:val="0B518812"/>
    <w:rsid w:val="104C33A9"/>
    <w:rsid w:val="1C799859"/>
    <w:rsid w:val="23ADC54A"/>
    <w:rsid w:val="250F4F14"/>
    <w:rsid w:val="3647B330"/>
    <w:rsid w:val="36ABE3D5"/>
    <w:rsid w:val="3842F6E9"/>
    <w:rsid w:val="38EFAFB3"/>
    <w:rsid w:val="3C2F4FEC"/>
    <w:rsid w:val="3DA77117"/>
    <w:rsid w:val="403FE225"/>
    <w:rsid w:val="42547127"/>
    <w:rsid w:val="4E10A789"/>
    <w:rsid w:val="4E637740"/>
    <w:rsid w:val="5830FE14"/>
    <w:rsid w:val="5862C0F3"/>
    <w:rsid w:val="5A99ECDA"/>
    <w:rsid w:val="6068B0E4"/>
    <w:rsid w:val="6570A76D"/>
    <w:rsid w:val="77C8B0C8"/>
    <w:rsid w:val="77D4CD87"/>
    <w:rsid w:val="7DEC9A59"/>
    <w:rsid w:val="7E9A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6E7B42"/>
  <w15:docId w15:val="{6AF57FDA-10D9-4C5E-B58D-A2283208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 w:type="table" w:styleId="TableGridLight">
    <w:name w:val="Grid Table Light"/>
    <w:basedOn w:val="TableNormal"/>
    <w:uiPriority w:val="40"/>
    <w:rsid w:val="00421B3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E33CDD"/>
    <w:pPr>
      <w:autoSpaceDE w:val="0"/>
      <w:autoSpaceDN w:val="0"/>
      <w:adjustRightInd w:val="0"/>
      <w:spacing w:line="240" w:lineRule="auto"/>
    </w:pPr>
    <w:rPr>
      <w:rFonts w:ascii="Poppins" w:hAnsi="Poppins" w:cs="Poppins"/>
      <w:color w:val="000000"/>
      <w:sz w:val="24"/>
      <w:szCs w:val="24"/>
      <w:lang w:val="en-US"/>
    </w:rPr>
  </w:style>
  <w:style w:type="character" w:styleId="UnresolvedMention">
    <w:name w:val="Unresolved Mention"/>
    <w:basedOn w:val="DefaultParagraphFont"/>
    <w:uiPriority w:val="99"/>
    <w:semiHidden/>
    <w:unhideWhenUsed/>
    <w:rsid w:val="00625105"/>
    <w:rPr>
      <w:color w:val="605E5C"/>
      <w:shd w:val="clear" w:color="auto" w:fill="E1DFDD"/>
    </w:rPr>
  </w:style>
  <w:style w:type="character" w:styleId="FollowedHyperlink">
    <w:name w:val="FollowedHyperlink"/>
    <w:basedOn w:val="DefaultParagraphFont"/>
    <w:uiPriority w:val="99"/>
    <w:semiHidden/>
    <w:unhideWhenUsed/>
    <w:rsid w:val="00536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taconline.org/Resource/JWHaEa5BS76j9uLrOziG_A/Resource-virginia-professional-teaching-standards-and-high-leverage-practice-crosswalk-vdoe-ttac-at-gm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taconline.org/Resource/JWHaEa5BS74yrEi-CH5S9Q/Resource-hlp-rubrics-1-2-3-4-6-7-8-9-12-13-14-15-16-17-18-20-22-vdoe-ttac-at-gm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taconline.org/Resource/JWHaEa5BS74u_kyJ4pAq-w/Resource-professional-learning-series-on-high-leverage-practices-hlps-virtual-virginia--vdoe-ttac-at-gm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ighleveragepractices.org/hlp-leadership-guides" TargetMode="External"/><Relationship Id="rId5" Type="http://schemas.openxmlformats.org/officeDocument/2006/relationships/settings" Target="settings.xml"/><Relationship Id="rId15" Type="http://schemas.openxmlformats.org/officeDocument/2006/relationships/hyperlink" Target="https://vimeo.com/mjk" TargetMode="External"/><Relationship Id="rId10" Type="http://schemas.openxmlformats.org/officeDocument/2006/relationships/hyperlink" Target="https://ttaconline.org/Resource/JWHaEa5BS75BpXRi_D6u2A/Resource-hlp-highlight-tools-1-2-3-4-5-6-7-8-9-10-11-12-13-14-15-16-17-18-19-20-21-2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ighleveragepractice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6" ma:contentTypeDescription="Create a new document." ma:contentTypeScope="" ma:versionID="d23fe829d10e6f2089cfce31d7b9792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462bcc2a081dfffafbd118bfe2ee8c1e"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Props1.xml><?xml version="1.0" encoding="utf-8"?>
<ds:datastoreItem xmlns:ds="http://schemas.openxmlformats.org/officeDocument/2006/customXml" ds:itemID="{A6D6F484-CBF8-4DCB-87D0-B29595848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CA8CF-DDE1-4C12-824F-9DDEB8D1A706}">
  <ds:schemaRefs>
    <ds:schemaRef ds:uri="http://schemas.microsoft.com/sharepoint/v3/contenttype/forms"/>
  </ds:schemaRefs>
</ds:datastoreItem>
</file>

<file path=customXml/itemProps3.xml><?xml version="1.0" encoding="utf-8"?>
<ds:datastoreItem xmlns:ds="http://schemas.openxmlformats.org/officeDocument/2006/customXml" ds:itemID="{5C6A690B-057B-48BB-BB83-61BFFFA61E95}">
  <ds:schemaRefs>
    <ds:schemaRef ds:uri="http://schemas.openxmlformats.org/package/2006/metadata/core-propertie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67ced3dd-177e-454b-b64a-ad68f0d994e1"/>
    <ds:schemaRef ds:uri="e57f6c35-541a-4073-a2f6-49dc8be0127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GMU TTAC Table Template</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GMU TTAC Table Template</dc:title>
  <dc:creator>Karen S Berlin</dc:creator>
  <cp:lastModifiedBy>Clare M  Talbert</cp:lastModifiedBy>
  <cp:revision>5</cp:revision>
  <dcterms:created xsi:type="dcterms:W3CDTF">2023-08-02T18:44:00Z</dcterms:created>
  <dcterms:modified xsi:type="dcterms:W3CDTF">2024-01-10T21:49:00Z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