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038F5" w14:textId="77777777" w:rsidR="00377421" w:rsidRPr="007014D5" w:rsidRDefault="007620AD" w:rsidP="001761F1">
      <w:pPr>
        <w:pStyle w:val="Title"/>
        <w:spacing w:before="0" w:after="0"/>
        <w:jc w:val="center"/>
        <w:rPr>
          <w:sz w:val="28"/>
          <w:szCs w:val="28"/>
        </w:rPr>
      </w:pPr>
      <w:r w:rsidRPr="007014D5">
        <w:rPr>
          <w:sz w:val="28"/>
          <w:szCs w:val="28"/>
        </w:rPr>
        <w:t>Virginia Essentialized Standards of Learning (VESOL)</w:t>
      </w:r>
    </w:p>
    <w:p w14:paraId="6CF5CE2B" w14:textId="2C6C1AA0" w:rsidR="00377421" w:rsidRPr="007014D5" w:rsidRDefault="007620AD" w:rsidP="001761F1">
      <w:pPr>
        <w:pStyle w:val="Title"/>
        <w:spacing w:before="0" w:after="0"/>
        <w:jc w:val="center"/>
        <w:rPr>
          <w:sz w:val="28"/>
          <w:szCs w:val="28"/>
        </w:rPr>
      </w:pPr>
      <w:r w:rsidRPr="007014D5">
        <w:rPr>
          <w:sz w:val="28"/>
          <w:szCs w:val="28"/>
        </w:rPr>
        <w:t>Instruction Resource</w:t>
      </w:r>
    </w:p>
    <w:p w14:paraId="2CF3262F" w14:textId="37ECFBCD" w:rsidR="00377421" w:rsidRPr="007014D5" w:rsidRDefault="007620AD" w:rsidP="001761F1">
      <w:pPr>
        <w:pStyle w:val="Title"/>
        <w:spacing w:before="0" w:after="0"/>
        <w:jc w:val="center"/>
        <w:rPr>
          <w:sz w:val="28"/>
          <w:szCs w:val="28"/>
          <w:u w:val="single"/>
        </w:rPr>
      </w:pPr>
      <w:r w:rsidRPr="007014D5">
        <w:rPr>
          <w:sz w:val="28"/>
          <w:szCs w:val="28"/>
        </w:rPr>
        <w:t>Science</w:t>
      </w:r>
      <w:r w:rsidR="001761F1">
        <w:rPr>
          <w:sz w:val="28"/>
          <w:szCs w:val="28"/>
        </w:rPr>
        <w:t xml:space="preserve"> Sample Activities</w:t>
      </w:r>
    </w:p>
    <w:p w14:paraId="070C958C" w14:textId="77777777" w:rsidR="00377421" w:rsidRDefault="007620AD" w:rsidP="007014D5">
      <w:pPr>
        <w:pStyle w:val="Heading1"/>
        <w:rPr>
          <w:color w:val="FF0000"/>
        </w:rPr>
      </w:pPr>
      <w:r w:rsidRPr="007014D5">
        <w:rPr>
          <w:sz w:val="28"/>
          <w:szCs w:val="28"/>
        </w:rPr>
        <w:t>Grade HS (</w:t>
      </w:r>
      <w:r w:rsidRPr="007014D5">
        <w:rPr>
          <w:sz w:val="28"/>
          <w:szCs w:val="28"/>
          <w:highlight w:val="white"/>
        </w:rPr>
        <w:t>Life at the Molecular/Cellular and Systems/Organisms Levels</w:t>
      </w:r>
      <w:r w:rsidRPr="007014D5">
        <w:rPr>
          <w:sz w:val="28"/>
          <w:szCs w:val="28"/>
        </w:rPr>
        <w:t>)</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2623"/>
        <w:gridCol w:w="2237"/>
        <w:gridCol w:w="2246"/>
        <w:gridCol w:w="2244"/>
      </w:tblGrid>
      <w:tr w:rsidR="00DA7960" w14:paraId="5FF6FC50" w14:textId="2CFD4F2C" w:rsidTr="7E597BF5">
        <w:trPr>
          <w:trHeight w:val="485"/>
        </w:trPr>
        <w:tc>
          <w:tcPr>
            <w:tcW w:w="14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1BF61" w14:textId="77777777" w:rsidR="00DA7960" w:rsidRDefault="00DA7960">
            <w:pPr>
              <w:jc w:val="center"/>
              <w:rPr>
                <w:b/>
                <w:color w:val="000000"/>
              </w:rPr>
            </w:pPr>
            <w:r>
              <w:rPr>
                <w:b/>
                <w:color w:val="000000"/>
              </w:rPr>
              <w:t>VESOL</w:t>
            </w:r>
            <w:r>
              <w:rPr>
                <w:b/>
                <w:color w:val="000000"/>
              </w:rPr>
              <w:br/>
              <w:t>Code</w:t>
            </w:r>
          </w:p>
        </w:tc>
        <w:tc>
          <w:tcPr>
            <w:tcW w:w="1196"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71A7A375" w14:textId="1E51D8BD" w:rsidR="00DA7960" w:rsidRDefault="00DA7960">
            <w:pPr>
              <w:jc w:val="center"/>
              <w:rPr>
                <w:b/>
                <w:color w:val="000000"/>
              </w:rPr>
            </w:pPr>
            <w:r>
              <w:rPr>
                <w:b/>
                <w:color w:val="000000"/>
              </w:rPr>
              <w:t>VESOL Reporting Category</w:t>
            </w:r>
          </w:p>
        </w:tc>
        <w:tc>
          <w:tcPr>
            <w:tcW w:w="1201" w:type="pct"/>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4736BAB0" w14:textId="77777777" w:rsidR="00DA7960" w:rsidRDefault="00DA7960">
            <w:pPr>
              <w:jc w:val="center"/>
              <w:rPr>
                <w:b/>
                <w:color w:val="000000"/>
              </w:rPr>
            </w:pPr>
            <w:r>
              <w:rPr>
                <w:b/>
                <w:color w:val="000000"/>
              </w:rPr>
              <w:t>VESOL</w:t>
            </w:r>
            <w:r>
              <w:rPr>
                <w:b/>
                <w:color w:val="000000"/>
              </w:rPr>
              <w:br/>
              <w:t>Text</w:t>
            </w:r>
          </w:p>
        </w:tc>
        <w:tc>
          <w:tcPr>
            <w:tcW w:w="1200" w:type="pct"/>
            <w:tcBorders>
              <w:top w:val="single" w:sz="4" w:space="0" w:color="000000" w:themeColor="text1"/>
              <w:left w:val="nil"/>
              <w:bottom w:val="single" w:sz="4" w:space="0" w:color="000000" w:themeColor="text1"/>
              <w:right w:val="single" w:sz="4" w:space="0" w:color="000000" w:themeColor="text1"/>
            </w:tcBorders>
          </w:tcPr>
          <w:p w14:paraId="0CD32461" w14:textId="7C77085B" w:rsidR="00DA7960" w:rsidRDefault="00DA7960">
            <w:pPr>
              <w:jc w:val="center"/>
              <w:rPr>
                <w:b/>
                <w:color w:val="000000"/>
              </w:rPr>
            </w:pPr>
            <w:r>
              <w:rPr>
                <w:b/>
                <w:color w:val="000000"/>
              </w:rPr>
              <w:t>Complexity Continuum</w:t>
            </w:r>
          </w:p>
        </w:tc>
      </w:tr>
      <w:tr w:rsidR="00DA7960" w14:paraId="0A809F42" w14:textId="33B03257" w:rsidTr="7E597BF5">
        <w:trPr>
          <w:trHeight w:val="2312"/>
        </w:trPr>
        <w:tc>
          <w:tcPr>
            <w:tcW w:w="140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A648D" w14:textId="48616AA7" w:rsidR="00DA7960" w:rsidRDefault="00DA7960" w:rsidP="7E597BF5">
            <w:pPr>
              <w:jc w:val="center"/>
              <w:rPr>
                <w:rFonts w:asciiTheme="majorHAnsi" w:eastAsiaTheme="majorEastAsia" w:hAnsiTheme="majorHAnsi" w:cstheme="majorBidi"/>
                <w:color w:val="000000"/>
              </w:rPr>
            </w:pPr>
            <w:r w:rsidRPr="7E597BF5">
              <w:rPr>
                <w:rFonts w:asciiTheme="majorHAnsi" w:eastAsiaTheme="majorEastAsia" w:hAnsiTheme="majorHAnsi" w:cstheme="majorBidi"/>
                <w:color w:val="000000" w:themeColor="text1"/>
              </w:rPr>
              <w:t>S-HS 1</w:t>
            </w:r>
          </w:p>
        </w:tc>
        <w:tc>
          <w:tcPr>
            <w:tcW w:w="1196"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583046BE" w14:textId="77777777" w:rsidR="00DA7960" w:rsidRDefault="00DA7960" w:rsidP="7E597BF5">
            <w:pPr>
              <w:rPr>
                <w:rFonts w:asciiTheme="majorHAnsi" w:eastAsiaTheme="majorEastAsia" w:hAnsiTheme="majorHAnsi" w:cstheme="majorBidi"/>
                <w:highlight w:val="white"/>
              </w:rPr>
            </w:pPr>
            <w:r w:rsidRPr="7E597BF5">
              <w:rPr>
                <w:rFonts w:asciiTheme="majorHAnsi" w:eastAsiaTheme="majorEastAsia" w:hAnsiTheme="majorHAnsi" w:cstheme="majorBidi"/>
                <w:highlight w:val="white"/>
              </w:rPr>
              <w:t>Life at the Molecular/Cellular and Systems/Organisms Levels (LMCSOL)</w:t>
            </w:r>
          </w:p>
          <w:p w14:paraId="4F16D8D7" w14:textId="77777777" w:rsidR="00DA7960" w:rsidRDefault="00DA7960" w:rsidP="7E597BF5">
            <w:pPr>
              <w:rPr>
                <w:rFonts w:asciiTheme="majorHAnsi" w:eastAsiaTheme="majorEastAsia" w:hAnsiTheme="majorHAnsi" w:cstheme="majorBidi"/>
                <w:color w:val="000000"/>
              </w:rPr>
            </w:pPr>
          </w:p>
        </w:tc>
        <w:tc>
          <w:tcPr>
            <w:tcW w:w="1201" w:type="pct"/>
            <w:tcBorders>
              <w:top w:val="single" w:sz="4" w:space="0" w:color="000000" w:themeColor="text1"/>
              <w:left w:val="nil"/>
              <w:bottom w:val="single" w:sz="4" w:space="0" w:color="000000" w:themeColor="text1"/>
              <w:right w:val="single" w:sz="4" w:space="0" w:color="000000" w:themeColor="text1"/>
            </w:tcBorders>
            <w:shd w:val="clear" w:color="auto" w:fill="auto"/>
          </w:tcPr>
          <w:p w14:paraId="51ABCC8C" w14:textId="77777777" w:rsidR="00DA7960" w:rsidRDefault="11E8E0B4" w:rsidP="7E597BF5">
            <w:pPr>
              <w:rPr>
                <w:rFonts w:asciiTheme="majorHAnsi" w:eastAsiaTheme="majorEastAsia" w:hAnsiTheme="majorHAnsi" w:cstheme="majorBidi"/>
              </w:rPr>
            </w:pPr>
            <w:r w:rsidRPr="7E597BF5">
              <w:rPr>
                <w:rFonts w:asciiTheme="majorHAnsi" w:eastAsiaTheme="majorEastAsia" w:hAnsiTheme="majorHAnsi" w:cstheme="majorBidi"/>
              </w:rPr>
              <w:t>Recognize that humans and animals need oxygen to breathe, water to drink, and food to eat in order to grow and obtain energy.</w:t>
            </w:r>
          </w:p>
          <w:p w14:paraId="3A898693" w14:textId="17090FB2" w:rsidR="00B94753" w:rsidRDefault="00B94753" w:rsidP="7E597BF5">
            <w:pPr>
              <w:rPr>
                <w:rFonts w:asciiTheme="majorHAnsi" w:eastAsiaTheme="majorEastAsia" w:hAnsiTheme="majorHAnsi" w:cstheme="majorBidi"/>
              </w:rPr>
            </w:pPr>
          </w:p>
        </w:tc>
        <w:tc>
          <w:tcPr>
            <w:tcW w:w="1200" w:type="pct"/>
            <w:tcBorders>
              <w:top w:val="single" w:sz="4" w:space="0" w:color="000000" w:themeColor="text1"/>
              <w:left w:val="nil"/>
              <w:bottom w:val="single" w:sz="4" w:space="0" w:color="000000" w:themeColor="text1"/>
              <w:right w:val="single" w:sz="4" w:space="0" w:color="000000" w:themeColor="text1"/>
            </w:tcBorders>
          </w:tcPr>
          <w:p w14:paraId="71218A28" w14:textId="77777777" w:rsidR="00B94753" w:rsidRPr="00B94753" w:rsidRDefault="00B94753" w:rsidP="00B94753">
            <w:r w:rsidRPr="00B94753">
              <w:t>Using simple pictures, diagrams, or representations, concepts could range from:</w:t>
            </w:r>
          </w:p>
          <w:p w14:paraId="2EBE08E8" w14:textId="77777777" w:rsidR="00B94753" w:rsidRPr="00B94753" w:rsidRDefault="00B94753" w:rsidP="00B94753">
            <w:pPr>
              <w:numPr>
                <w:ilvl w:val="0"/>
                <w:numId w:val="4"/>
              </w:numPr>
              <w:spacing w:line="259" w:lineRule="auto"/>
            </w:pPr>
            <w:r w:rsidRPr="00B94753">
              <w:t xml:space="preserve">recognizing the difference between air/oxygen, water, and food, and that humans and animals need these to survive and grow </w:t>
            </w:r>
            <w:r w:rsidRPr="00B94753">
              <w:rPr>
                <w:i/>
              </w:rPr>
              <w:t>to</w:t>
            </w:r>
            <w:r w:rsidRPr="00B94753">
              <w:t xml:space="preserve"> </w:t>
            </w:r>
          </w:p>
          <w:p w14:paraId="4B68872B" w14:textId="77777777" w:rsidR="00B94753" w:rsidRPr="00B94753" w:rsidRDefault="00B94753" w:rsidP="00B94753">
            <w:pPr>
              <w:numPr>
                <w:ilvl w:val="0"/>
                <w:numId w:val="4"/>
              </w:numPr>
              <w:spacing w:line="259" w:lineRule="auto"/>
            </w:pPr>
            <w:r w:rsidRPr="00B94753">
              <w:t xml:space="preserve">recognizing that air/oxygen, water, and food help provide energy to humans and animals </w:t>
            </w:r>
            <w:r w:rsidRPr="00B94753">
              <w:rPr>
                <w:i/>
              </w:rPr>
              <w:t>to</w:t>
            </w:r>
          </w:p>
          <w:p w14:paraId="09880488" w14:textId="67F015BB" w:rsidR="00DA7960" w:rsidRDefault="00B94753" w:rsidP="00B94753">
            <w:pPr>
              <w:numPr>
                <w:ilvl w:val="0"/>
                <w:numId w:val="4"/>
              </w:numPr>
              <w:spacing w:line="259" w:lineRule="auto"/>
            </w:pPr>
            <w:r w:rsidRPr="00B94753">
              <w:t>recognizing that energy and growth may change based on the type, amount, or availability of air/oxygen, water, and food.</w:t>
            </w:r>
          </w:p>
        </w:tc>
      </w:tr>
    </w:tbl>
    <w:p w14:paraId="36F2F8C4" w14:textId="77777777" w:rsidR="001761F1" w:rsidRDefault="001761F1" w:rsidP="001761F1">
      <w:pPr>
        <w:pStyle w:val="Heading1"/>
        <w:spacing w:before="0"/>
        <w:rPr>
          <w:sz w:val="28"/>
          <w:szCs w:val="28"/>
        </w:rPr>
      </w:pPr>
    </w:p>
    <w:p w14:paraId="036A5A02" w14:textId="4A8A4E84" w:rsidR="00377421" w:rsidRPr="007014D5" w:rsidRDefault="007620AD" w:rsidP="001761F1">
      <w:pPr>
        <w:pStyle w:val="Heading1"/>
        <w:spacing w:before="0"/>
        <w:rPr>
          <w:sz w:val="28"/>
          <w:szCs w:val="28"/>
        </w:rPr>
      </w:pPr>
      <w:r w:rsidRPr="007014D5">
        <w:rPr>
          <w:sz w:val="28"/>
          <w:szCs w:val="28"/>
        </w:rPr>
        <w:t>Instructional Example</w:t>
      </w:r>
    </w:p>
    <w:p w14:paraId="220BA697" w14:textId="77777777" w:rsidR="00377421" w:rsidRDefault="007620AD">
      <w:pPr>
        <w:widowControl w:val="0"/>
        <w:spacing w:after="0" w:line="240" w:lineRule="auto"/>
        <w:rPr>
          <w:b/>
        </w:rPr>
      </w:pPr>
      <w:r>
        <w:rPr>
          <w:b/>
          <w:u w:val="single"/>
        </w:rPr>
        <w:t>Objective</w:t>
      </w:r>
      <w:r>
        <w:rPr>
          <w:b/>
        </w:rPr>
        <w:t>:</w:t>
      </w:r>
    </w:p>
    <w:p w14:paraId="3402BA9C" w14:textId="1685BE42" w:rsidR="00377421" w:rsidRDefault="007620AD" w:rsidP="7E597BF5">
      <w:pPr>
        <w:widowControl w:val="0"/>
        <w:spacing w:line="240" w:lineRule="auto"/>
        <w:rPr>
          <w:highlight w:val="white"/>
        </w:rPr>
      </w:pPr>
      <w:r w:rsidRPr="7E597BF5">
        <w:rPr>
          <w:highlight w:val="white"/>
        </w:rPr>
        <w:t xml:space="preserve">Students will recognize that humans and animals need oxygen to breathe, water to drink, and </w:t>
      </w:r>
      <w:r w:rsidR="03B834DB" w:rsidRPr="7E597BF5">
        <w:rPr>
          <w:highlight w:val="white"/>
        </w:rPr>
        <w:t>food to eat in order to grow and obtain energy.</w:t>
      </w:r>
    </w:p>
    <w:p w14:paraId="67BDBEA6" w14:textId="77777777" w:rsidR="00377421" w:rsidRDefault="007620AD">
      <w:pPr>
        <w:widowControl w:val="0"/>
        <w:spacing w:after="0" w:line="240" w:lineRule="auto"/>
        <w:rPr>
          <w:b/>
          <w:color w:val="000000"/>
          <w:u w:val="single"/>
        </w:rPr>
      </w:pPr>
      <w:r>
        <w:rPr>
          <w:b/>
          <w:color w:val="000000"/>
          <w:u w:val="single"/>
        </w:rPr>
        <w:t>Vocabulary:</w:t>
      </w:r>
    </w:p>
    <w:p w14:paraId="7547C72F" w14:textId="007EA365" w:rsidR="00377421" w:rsidRDefault="007620AD">
      <w:pPr>
        <w:widowControl w:val="0"/>
        <w:spacing w:after="0" w:line="240" w:lineRule="auto"/>
      </w:pPr>
      <w:r>
        <w:t>food, mammal, air, oxygen, water, shelter, space, survive, living, animal, human, light, grow, energy</w:t>
      </w:r>
    </w:p>
    <w:p w14:paraId="154F01DB" w14:textId="77777777" w:rsidR="00B94753" w:rsidRDefault="00B94753">
      <w:pPr>
        <w:widowControl w:val="0"/>
        <w:spacing w:after="0" w:line="240" w:lineRule="auto"/>
      </w:pPr>
    </w:p>
    <w:p w14:paraId="5DB150F5" w14:textId="77777777" w:rsidR="00377421" w:rsidRDefault="00377421">
      <w:pPr>
        <w:widowControl w:val="0"/>
        <w:spacing w:after="0" w:line="240" w:lineRule="auto"/>
      </w:pPr>
    </w:p>
    <w:p w14:paraId="767B9CA5" w14:textId="3C6E242B" w:rsidR="00377421" w:rsidRDefault="007620AD">
      <w:pPr>
        <w:widowControl w:val="0"/>
        <w:spacing w:after="0" w:line="240" w:lineRule="auto"/>
        <w:rPr>
          <w:b/>
        </w:rPr>
      </w:pPr>
      <w:r>
        <w:rPr>
          <w:b/>
          <w:u w:val="single"/>
        </w:rPr>
        <w:lastRenderedPageBreak/>
        <w:t>Materials</w:t>
      </w:r>
      <w:r>
        <w:rPr>
          <w:b/>
        </w:rPr>
        <w:t>:</w:t>
      </w:r>
      <w:r w:rsidR="001761F1">
        <w:rPr>
          <w:b/>
        </w:rPr>
        <w:t xml:space="preserve"> </w:t>
      </w:r>
      <w:r w:rsidR="001761F1" w:rsidRPr="00375903">
        <w:rPr>
          <w:i/>
        </w:rPr>
        <w:t>Sample activities range across a continuum of complexity and may include materials such as</w:t>
      </w:r>
      <w:r w:rsidR="00AF1861">
        <w:rPr>
          <w:i/>
        </w:rPr>
        <w:t>:</w:t>
      </w:r>
    </w:p>
    <w:p w14:paraId="495A1E08" w14:textId="1988865A" w:rsidR="007014D5" w:rsidRDefault="007620AD">
      <w:pPr>
        <w:widowControl w:val="0"/>
        <w:spacing w:after="0" w:line="240" w:lineRule="auto"/>
      </w:pPr>
      <w:r>
        <w:t>real objects, experiential activities and manipulates that provide sensory awareness</w:t>
      </w:r>
      <w:r w:rsidR="001761F1">
        <w:t xml:space="preserve">, </w:t>
      </w:r>
      <w:r>
        <w:t>visuals, graphic organizers, science rubrics</w:t>
      </w:r>
      <w:r w:rsidR="001761F1">
        <w:t xml:space="preserve">, </w:t>
      </w:r>
      <w:r>
        <w:t>science notebooks, charts, graphs for documenting change and problem solving</w:t>
      </w:r>
    </w:p>
    <w:p w14:paraId="1C9C7B19" w14:textId="77777777" w:rsidR="001761F1" w:rsidRDefault="001761F1">
      <w:pPr>
        <w:widowControl w:val="0"/>
        <w:spacing w:line="240" w:lineRule="auto"/>
        <w:rPr>
          <w:b/>
          <w:u w:val="single"/>
        </w:rPr>
      </w:pPr>
    </w:p>
    <w:p w14:paraId="04D133A2" w14:textId="69CA9AAB" w:rsidR="00377421" w:rsidRDefault="007620AD">
      <w:pPr>
        <w:widowControl w:val="0"/>
        <w:spacing w:line="240" w:lineRule="auto"/>
        <w:rPr>
          <w:b/>
        </w:rPr>
      </w:pPr>
      <w:r>
        <w:rPr>
          <w:b/>
          <w:u w:val="single"/>
        </w:rPr>
        <w:t>Procedures for Instruction</w:t>
      </w:r>
      <w:r>
        <w:rPr>
          <w:b/>
        </w:rPr>
        <w:t>:</w:t>
      </w:r>
    </w:p>
    <w:p w14:paraId="68B6909C" w14:textId="28362A23" w:rsidR="00377421" w:rsidRDefault="007620AD">
      <w:pPr>
        <w:widowControl w:val="0"/>
        <w:spacing w:line="240" w:lineRule="auto"/>
        <w:rPr>
          <w:i/>
        </w:rPr>
      </w:pPr>
      <w:r>
        <w:rPr>
          <w:i/>
        </w:rPr>
        <w:t xml:space="preserve">These instructional </w:t>
      </w:r>
      <w:r w:rsidR="00B94753">
        <w:rPr>
          <w:i/>
        </w:rPr>
        <w:t>activities</w:t>
      </w:r>
      <w:r>
        <w:rPr>
          <w:i/>
        </w:rPr>
        <w:t xml:space="preserve">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14:paraId="403F78EA" w14:textId="77777777" w:rsidR="001761F1" w:rsidRDefault="001761F1">
      <w:pPr>
        <w:widowControl w:val="0"/>
        <w:spacing w:line="240" w:lineRule="auto"/>
        <w:rPr>
          <w:b/>
        </w:rPr>
      </w:pPr>
      <w:r>
        <w:rPr>
          <w:b/>
        </w:rPr>
        <w:t>Sample Activity 1</w:t>
      </w:r>
    </w:p>
    <w:p w14:paraId="7B6E3839" w14:textId="4D63D14D" w:rsidR="001761F1" w:rsidRDefault="007620AD" w:rsidP="00B94753">
      <w:pPr>
        <w:widowControl w:val="0"/>
        <w:spacing w:line="240" w:lineRule="auto"/>
      </w:pPr>
      <w:r>
        <w:t>Teacher will provide hands-on exploration during meal and snack opportunities to identify foods, drinks and environments needed to survive and grow.  The students will identify through orientation, essential survival needs for themselves, including food and drink.</w:t>
      </w:r>
      <w:bookmarkStart w:id="0" w:name="_GoBack"/>
      <w:bookmarkEnd w:id="0"/>
    </w:p>
    <w:p w14:paraId="25D3D475" w14:textId="77777777" w:rsidR="001761F1" w:rsidRDefault="001761F1">
      <w:pPr>
        <w:widowControl w:val="0"/>
        <w:spacing w:line="240" w:lineRule="auto"/>
        <w:rPr>
          <w:b/>
        </w:rPr>
      </w:pPr>
      <w:r>
        <w:rPr>
          <w:b/>
        </w:rPr>
        <w:t>Sample Activity 2</w:t>
      </w:r>
    </w:p>
    <w:p w14:paraId="4C637D86" w14:textId="60688C1B" w:rsidR="00377421" w:rsidRDefault="007620AD">
      <w:pPr>
        <w:widowControl w:val="0"/>
        <w:spacing w:line="240" w:lineRule="auto"/>
      </w:pPr>
      <w:r>
        <w:t xml:space="preserve"> Teacher will provide hands-on exploration during meal and snack opportunities to identify foods, drinks and environments needed to survive and grow.  The student, using visuals will identify the difference between water, food and air/oxygen and that humans and animals need them to survive and grow.</w:t>
      </w:r>
    </w:p>
    <w:p w14:paraId="3393C8D8" w14:textId="77777777" w:rsidR="001761F1" w:rsidRDefault="001761F1">
      <w:pPr>
        <w:widowControl w:val="0"/>
        <w:spacing w:line="240" w:lineRule="auto"/>
        <w:rPr>
          <w:b/>
        </w:rPr>
      </w:pPr>
      <w:r>
        <w:rPr>
          <w:b/>
        </w:rPr>
        <w:t>Sample Activity 3</w:t>
      </w:r>
    </w:p>
    <w:p w14:paraId="1FD34B9B" w14:textId="0318A1C8" w:rsidR="00377421" w:rsidRDefault="007620AD">
      <w:pPr>
        <w:widowControl w:val="0"/>
        <w:spacing w:line="240" w:lineRule="auto"/>
        <w:rPr>
          <w:i/>
        </w:rPr>
      </w:pPr>
      <w:r>
        <w:t>The teacher will provide examples and non-examples of items that provide energy to humans and animals to help grow and survive. The student will use a T-Chart to sort examples and non-examples of items that provide humans and animals with energy.</w:t>
      </w:r>
    </w:p>
    <w:p w14:paraId="31C22049" w14:textId="77777777" w:rsidR="001761F1" w:rsidRDefault="001761F1">
      <w:pPr>
        <w:widowControl w:val="0"/>
        <w:spacing w:line="240" w:lineRule="auto"/>
        <w:rPr>
          <w:b/>
        </w:rPr>
      </w:pPr>
      <w:r>
        <w:rPr>
          <w:b/>
        </w:rPr>
        <w:t>Sample Activity 4</w:t>
      </w:r>
    </w:p>
    <w:p w14:paraId="08084F8E" w14:textId="3DF9DAC4" w:rsidR="00377421" w:rsidRDefault="007620AD">
      <w:pPr>
        <w:widowControl w:val="0"/>
        <w:spacing w:line="240" w:lineRule="auto"/>
      </w:pPr>
      <w:r>
        <w:rPr>
          <w:i/>
        </w:rPr>
        <w:t xml:space="preserve"> </w:t>
      </w:r>
      <w:r>
        <w:t>The teacher will provide examples and non-examples of items that provide energy to humans and animals to help grow and survive. Using words and pictures, the student will chart the expected growth of humans and/or animals when given variables to survive (food, water and air).</w:t>
      </w:r>
    </w:p>
    <w:p w14:paraId="41E0B0AF" w14:textId="77777777" w:rsidR="00377421" w:rsidRDefault="007620AD">
      <w:pPr>
        <w:widowControl w:val="0"/>
        <w:spacing w:line="240" w:lineRule="auto"/>
        <w:rPr>
          <w:b/>
          <w:u w:val="single"/>
        </w:rPr>
      </w:pPr>
      <w:r>
        <w:rPr>
          <w:b/>
          <w:u w:val="single"/>
        </w:rPr>
        <w:t xml:space="preserve">Additional Resources: </w:t>
      </w:r>
    </w:p>
    <w:p w14:paraId="314F819C" w14:textId="75F5C0EF" w:rsidR="00377421" w:rsidRDefault="007620AD">
      <w:pPr>
        <w:widowControl w:val="0"/>
        <w:spacing w:line="240" w:lineRule="auto"/>
      </w:pPr>
      <w:r>
        <w:t>SOL Science Enhanced Scope and Sequence</w:t>
      </w:r>
      <w:r w:rsidR="007014D5">
        <w:t>-</w:t>
      </w:r>
      <w:hyperlink r:id="rId8">
        <w:r>
          <w:rPr>
            <w:color w:val="1155CC"/>
            <w:u w:val="single"/>
          </w:rPr>
          <w:t>https://www.doe.virginia.gov/testing/sol/standards_docs/science/2010/lesson_plans/index.shtml</w:t>
        </w:r>
      </w:hyperlink>
    </w:p>
    <w:p w14:paraId="522C1902" w14:textId="77777777" w:rsidR="00377421" w:rsidRDefault="00377421">
      <w:pPr>
        <w:widowControl w:val="0"/>
        <w:spacing w:line="240" w:lineRule="auto"/>
        <w:rPr>
          <w:b/>
          <w:sz w:val="4"/>
          <w:szCs w:val="4"/>
        </w:rPr>
      </w:pPr>
    </w:p>
    <w:p w14:paraId="00C84BAE" w14:textId="77777777" w:rsidR="00377421" w:rsidRDefault="007620AD">
      <w:pPr>
        <w:spacing w:after="0"/>
        <w:rPr>
          <w:b/>
        </w:rPr>
      </w:pPr>
      <w:r>
        <w:rPr>
          <w:b/>
        </w:rPr>
        <w:t>Communication:</w:t>
      </w:r>
    </w:p>
    <w:p w14:paraId="1F0BFF8B" w14:textId="77777777" w:rsidR="00377421" w:rsidRDefault="0038407C">
      <w:pPr>
        <w:numPr>
          <w:ilvl w:val="0"/>
          <w:numId w:val="2"/>
        </w:numPr>
        <w:spacing w:after="0" w:line="240" w:lineRule="auto"/>
      </w:pPr>
      <w:hyperlink r:id="rId9">
        <w:r w:rsidR="007620AD">
          <w:rPr>
            <w:color w:val="1155CC"/>
            <w:u w:val="single"/>
          </w:rPr>
          <w:t>36 Location Universal Core Board</w:t>
        </w:r>
      </w:hyperlink>
    </w:p>
    <w:p w14:paraId="2A574D38" w14:textId="77777777" w:rsidR="00377421" w:rsidRDefault="007620AD">
      <w:pPr>
        <w:widowControl w:val="0"/>
        <w:numPr>
          <w:ilvl w:val="0"/>
          <w:numId w:val="2"/>
        </w:numPr>
        <w:spacing w:after="0" w:line="240" w:lineRule="auto"/>
      </w:pPr>
      <w:r>
        <w:t xml:space="preserve">Core Vocabulary and Science: Core words that can be modeled and targeted during lessons: </w:t>
      </w:r>
    </w:p>
    <w:p w14:paraId="723A1487" w14:textId="77777777" w:rsidR="00377421" w:rsidRDefault="007620AD">
      <w:pPr>
        <w:numPr>
          <w:ilvl w:val="1"/>
          <w:numId w:val="2"/>
        </w:numPr>
        <w:spacing w:after="0" w:line="240" w:lineRule="auto"/>
      </w:pPr>
      <w:r>
        <w:t>Eat/Drink</w:t>
      </w:r>
    </w:p>
    <w:p w14:paraId="3932638F" w14:textId="77777777" w:rsidR="00377421" w:rsidRDefault="007620AD">
      <w:pPr>
        <w:numPr>
          <w:ilvl w:val="1"/>
          <w:numId w:val="2"/>
        </w:numPr>
        <w:spacing w:after="0" w:line="240" w:lineRule="auto"/>
      </w:pPr>
      <w:r>
        <w:t>More</w:t>
      </w:r>
    </w:p>
    <w:p w14:paraId="5D224561" w14:textId="77777777" w:rsidR="00377421" w:rsidRDefault="007620AD">
      <w:pPr>
        <w:numPr>
          <w:ilvl w:val="1"/>
          <w:numId w:val="2"/>
        </w:numPr>
        <w:spacing w:after="0" w:line="240" w:lineRule="auto"/>
      </w:pPr>
      <w:r>
        <w:t>Go/Stop</w:t>
      </w:r>
    </w:p>
    <w:p w14:paraId="06CC91AE" w14:textId="77777777" w:rsidR="00377421" w:rsidRDefault="007620AD">
      <w:pPr>
        <w:numPr>
          <w:ilvl w:val="1"/>
          <w:numId w:val="2"/>
        </w:numPr>
        <w:spacing w:after="0" w:line="240" w:lineRule="auto"/>
      </w:pPr>
      <w:r>
        <w:t>Not</w:t>
      </w:r>
    </w:p>
    <w:p w14:paraId="14DB3726" w14:textId="504299BD" w:rsidR="00377421" w:rsidRPr="007620AD" w:rsidRDefault="007620AD" w:rsidP="007620AD">
      <w:pPr>
        <w:numPr>
          <w:ilvl w:val="1"/>
          <w:numId w:val="2"/>
        </w:numPr>
        <w:spacing w:after="0" w:line="240" w:lineRule="auto"/>
        <w:rPr>
          <w:rFonts w:ascii="Times New Roman" w:eastAsia="Times New Roman" w:hAnsi="Times New Roman" w:cs="Times New Roman"/>
          <w:b/>
          <w:sz w:val="24"/>
          <w:szCs w:val="24"/>
          <w:u w:val="single"/>
        </w:rPr>
      </w:pPr>
      <w:r>
        <w:t>Need</w:t>
      </w:r>
    </w:p>
    <w:sectPr w:rsidR="00377421" w:rsidRPr="007620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54DDD"/>
    <w:multiLevelType w:val="multilevel"/>
    <w:tmpl w:val="C1B4C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577BC9"/>
    <w:multiLevelType w:val="hybridMultilevel"/>
    <w:tmpl w:val="39DE695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15:restartNumberingAfterBreak="0">
    <w:nsid w:val="624F3197"/>
    <w:multiLevelType w:val="hybridMultilevel"/>
    <w:tmpl w:val="31CA72D2"/>
    <w:lvl w:ilvl="0" w:tplc="78B2BC92">
      <w:start w:val="1"/>
      <w:numFmt w:val="bullet"/>
      <w:suff w:val="space"/>
      <w:lvlText w:val=""/>
      <w:lvlJc w:val="left"/>
      <w:pPr>
        <w:ind w:left="72" w:firstLine="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 w15:restartNumberingAfterBreak="0">
    <w:nsid w:val="74BB7AEB"/>
    <w:multiLevelType w:val="hybridMultilevel"/>
    <w:tmpl w:val="C38EADB8"/>
    <w:lvl w:ilvl="0" w:tplc="0D7EE41E">
      <w:start w:val="1"/>
      <w:numFmt w:val="bullet"/>
      <w:lvlText w:val=""/>
      <w:lvlJc w:val="left"/>
      <w:pPr>
        <w:ind w:left="360" w:hanging="360"/>
      </w:pPr>
      <w:rPr>
        <w:rFonts w:ascii="Symbol" w:hAnsi="Symbol" w:hint="default"/>
      </w:rPr>
    </w:lvl>
    <w:lvl w:ilvl="1" w:tplc="E926059C">
      <w:start w:val="1"/>
      <w:numFmt w:val="bullet"/>
      <w:lvlText w:val="o"/>
      <w:lvlJc w:val="left"/>
      <w:pPr>
        <w:ind w:left="1080" w:hanging="360"/>
      </w:pPr>
      <w:rPr>
        <w:rFonts w:ascii="Courier New" w:hAnsi="Courier New" w:hint="default"/>
      </w:rPr>
    </w:lvl>
    <w:lvl w:ilvl="2" w:tplc="B08208D6">
      <w:start w:val="1"/>
      <w:numFmt w:val="bullet"/>
      <w:lvlText w:val=""/>
      <w:lvlJc w:val="left"/>
      <w:pPr>
        <w:ind w:left="1800" w:hanging="360"/>
      </w:pPr>
      <w:rPr>
        <w:rFonts w:ascii="Wingdings" w:hAnsi="Wingdings" w:hint="default"/>
      </w:rPr>
    </w:lvl>
    <w:lvl w:ilvl="3" w:tplc="6AC20738">
      <w:start w:val="1"/>
      <w:numFmt w:val="bullet"/>
      <w:lvlText w:val=""/>
      <w:lvlJc w:val="left"/>
      <w:pPr>
        <w:ind w:left="2520" w:hanging="360"/>
      </w:pPr>
      <w:rPr>
        <w:rFonts w:ascii="Symbol" w:hAnsi="Symbol" w:hint="default"/>
      </w:rPr>
    </w:lvl>
    <w:lvl w:ilvl="4" w:tplc="43988E8A">
      <w:start w:val="1"/>
      <w:numFmt w:val="bullet"/>
      <w:lvlText w:val="o"/>
      <w:lvlJc w:val="left"/>
      <w:pPr>
        <w:ind w:left="3240" w:hanging="360"/>
      </w:pPr>
      <w:rPr>
        <w:rFonts w:ascii="Courier New" w:hAnsi="Courier New" w:hint="default"/>
      </w:rPr>
    </w:lvl>
    <w:lvl w:ilvl="5" w:tplc="DEE69EEE">
      <w:start w:val="1"/>
      <w:numFmt w:val="bullet"/>
      <w:lvlText w:val=""/>
      <w:lvlJc w:val="left"/>
      <w:pPr>
        <w:ind w:left="3960" w:hanging="360"/>
      </w:pPr>
      <w:rPr>
        <w:rFonts w:ascii="Wingdings" w:hAnsi="Wingdings" w:hint="default"/>
      </w:rPr>
    </w:lvl>
    <w:lvl w:ilvl="6" w:tplc="8760D8EC">
      <w:start w:val="1"/>
      <w:numFmt w:val="bullet"/>
      <w:lvlText w:val=""/>
      <w:lvlJc w:val="left"/>
      <w:pPr>
        <w:ind w:left="4680" w:hanging="360"/>
      </w:pPr>
      <w:rPr>
        <w:rFonts w:ascii="Symbol" w:hAnsi="Symbol" w:hint="default"/>
      </w:rPr>
    </w:lvl>
    <w:lvl w:ilvl="7" w:tplc="83DC359C">
      <w:start w:val="1"/>
      <w:numFmt w:val="bullet"/>
      <w:lvlText w:val="o"/>
      <w:lvlJc w:val="left"/>
      <w:pPr>
        <w:ind w:left="5400" w:hanging="360"/>
      </w:pPr>
      <w:rPr>
        <w:rFonts w:ascii="Courier New" w:hAnsi="Courier New" w:hint="default"/>
      </w:rPr>
    </w:lvl>
    <w:lvl w:ilvl="8" w:tplc="F3B8A2E6">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421"/>
    <w:rsid w:val="001761F1"/>
    <w:rsid w:val="00254F6C"/>
    <w:rsid w:val="002670B5"/>
    <w:rsid w:val="00377421"/>
    <w:rsid w:val="006232E9"/>
    <w:rsid w:val="007014D5"/>
    <w:rsid w:val="007620AD"/>
    <w:rsid w:val="007C5B02"/>
    <w:rsid w:val="00A5474B"/>
    <w:rsid w:val="00AF1861"/>
    <w:rsid w:val="00B94753"/>
    <w:rsid w:val="00D55723"/>
    <w:rsid w:val="00DA7960"/>
    <w:rsid w:val="03B834DB"/>
    <w:rsid w:val="11E8E0B4"/>
    <w:rsid w:val="1488AF7E"/>
    <w:rsid w:val="1B3CE7F1"/>
    <w:rsid w:val="1D88B346"/>
    <w:rsid w:val="474C8382"/>
    <w:rsid w:val="67FA10E9"/>
    <w:rsid w:val="7CBDAB94"/>
    <w:rsid w:val="7E597BF5"/>
    <w:rsid w:val="7F09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0E90"/>
  <w15:docId w15:val="{85DD34A3-6BBA-41ED-BDCD-1C033B2D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oe.virginia.gov/testing/sol/standards_docs/science/2010/lesson_plans/index.s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ject-core.com/36-lo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a3349d0efec436aaebf6a6333b40ac31">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c0f80d6cda4ddc43b66f3de99463ad98"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5533E-73A6-4AFF-8716-75EED8D4D668}">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e57f6c35-541a-4073-a2f6-49dc8be0127c"/>
    <ds:schemaRef ds:uri="http://purl.org/dc/elements/1.1/"/>
    <ds:schemaRef ds:uri="http://www.w3.org/XML/1998/namespace"/>
    <ds:schemaRef ds:uri="67ced3dd-177e-454b-b64a-ad68f0d994e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E9AC75E-FCB9-4899-9A5E-C21928FB8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1E797-F7CA-486D-B9B3-5114FD519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3127</Characters>
  <Application>Microsoft Office Word</Application>
  <DocSecurity>0</DocSecurity>
  <Lines>156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S-HS 1 What Humans and Animals Need to Grow</dc:title>
  <dc:creator>TTAC VESOL Workgroup</dc:creator>
  <cp:lastModifiedBy>Karen S Berlin</cp:lastModifiedBy>
  <cp:revision>6</cp:revision>
  <cp:lastPrinted>2021-08-15T13:52:00Z</cp:lastPrinted>
  <dcterms:created xsi:type="dcterms:W3CDTF">2021-06-22T16:42:00Z</dcterms:created>
  <dcterms:modified xsi:type="dcterms:W3CDTF">2021-08-15T13:53:00Z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