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6784" w14:textId="77777777" w:rsidR="001315C9" w:rsidRPr="00A26F6C" w:rsidRDefault="001F4A4C" w:rsidP="000566A1">
      <w:pPr>
        <w:pStyle w:val="Title"/>
        <w:spacing w:before="0" w:after="0"/>
        <w:jc w:val="center"/>
        <w:rPr>
          <w:sz w:val="28"/>
          <w:szCs w:val="28"/>
        </w:rPr>
      </w:pPr>
      <w:r w:rsidRPr="00A26F6C">
        <w:rPr>
          <w:sz w:val="28"/>
          <w:szCs w:val="28"/>
        </w:rPr>
        <w:t>Virginia Essentialized Standards of Learning (VESOL)</w:t>
      </w:r>
    </w:p>
    <w:p w14:paraId="4FB00D2B" w14:textId="77AA741F" w:rsidR="001315C9" w:rsidRPr="00A26F6C" w:rsidRDefault="001F4A4C" w:rsidP="000566A1">
      <w:pPr>
        <w:pStyle w:val="Title"/>
        <w:spacing w:before="0" w:after="0"/>
        <w:jc w:val="center"/>
        <w:rPr>
          <w:sz w:val="28"/>
          <w:szCs w:val="28"/>
        </w:rPr>
      </w:pPr>
      <w:r w:rsidRPr="00A26F6C">
        <w:rPr>
          <w:sz w:val="28"/>
          <w:szCs w:val="28"/>
        </w:rPr>
        <w:t>Instruction Resource</w:t>
      </w:r>
    </w:p>
    <w:p w14:paraId="2FF5F8C6" w14:textId="3BD5F381" w:rsidR="001315C9" w:rsidRPr="00A26F6C" w:rsidRDefault="001F4A4C" w:rsidP="000566A1">
      <w:pPr>
        <w:pStyle w:val="Title"/>
        <w:spacing w:before="0" w:after="0"/>
        <w:jc w:val="center"/>
        <w:rPr>
          <w:sz w:val="28"/>
          <w:szCs w:val="28"/>
          <w:u w:val="single"/>
        </w:rPr>
      </w:pPr>
      <w:r w:rsidRPr="00A26F6C">
        <w:rPr>
          <w:sz w:val="28"/>
          <w:szCs w:val="28"/>
        </w:rPr>
        <w:t>Science</w:t>
      </w:r>
      <w:r w:rsidR="000566A1">
        <w:rPr>
          <w:sz w:val="28"/>
          <w:szCs w:val="28"/>
        </w:rPr>
        <w:t xml:space="preserve"> Sample Activities</w:t>
      </w:r>
    </w:p>
    <w:p w14:paraId="0A5588B8" w14:textId="77777777" w:rsidR="001315C9" w:rsidRPr="00A26F6C" w:rsidRDefault="001F4A4C" w:rsidP="00A26F6C">
      <w:pPr>
        <w:pStyle w:val="Heading1"/>
        <w:rPr>
          <w:color w:val="FF0000"/>
          <w:sz w:val="28"/>
          <w:szCs w:val="28"/>
        </w:rPr>
      </w:pPr>
      <w:r w:rsidRPr="00A26F6C">
        <w:rPr>
          <w:sz w:val="28"/>
          <w:szCs w:val="28"/>
        </w:rPr>
        <w:t>Grade HS (</w:t>
      </w:r>
      <w:r w:rsidRPr="00A26F6C">
        <w:rPr>
          <w:sz w:val="28"/>
          <w:szCs w:val="28"/>
          <w:highlight w:val="white"/>
        </w:rPr>
        <w:t>Interactions of Life Forms and Ecosystem Dynamics</w:t>
      </w:r>
      <w:r w:rsidRPr="00A26F6C">
        <w:rPr>
          <w:sz w:val="28"/>
          <w:szCs w:val="28"/>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23"/>
        <w:gridCol w:w="2237"/>
        <w:gridCol w:w="2246"/>
        <w:gridCol w:w="2244"/>
      </w:tblGrid>
      <w:tr w:rsidR="005F5FB6" w14:paraId="17223FAD" w14:textId="52B43E21" w:rsidTr="7FF93D71">
        <w:trPr>
          <w:trHeight w:val="485"/>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AA495" w14:textId="77777777" w:rsidR="005F5FB6" w:rsidRDefault="005F5FB6">
            <w:pPr>
              <w:jc w:val="center"/>
              <w:rPr>
                <w:b/>
                <w:color w:val="000000"/>
              </w:rPr>
            </w:pPr>
            <w:r>
              <w:rPr>
                <w:b/>
                <w:color w:val="000000"/>
              </w:rPr>
              <w:t>VESOL</w:t>
            </w:r>
            <w:r>
              <w:rPr>
                <w:b/>
                <w:color w:val="000000"/>
              </w:rPr>
              <w:br/>
              <w:t>Code</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C38A246" w14:textId="79B43F12" w:rsidR="005F5FB6" w:rsidRDefault="005F5FB6">
            <w:pPr>
              <w:jc w:val="center"/>
              <w:rPr>
                <w:b/>
                <w:color w:val="000000"/>
              </w:rPr>
            </w:pPr>
            <w:r>
              <w:rPr>
                <w:b/>
                <w:color w:val="000000"/>
              </w:rPr>
              <w:t>VESOL Reporting Category</w:t>
            </w: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3B62F79" w14:textId="77777777" w:rsidR="005F5FB6" w:rsidRDefault="005F5FB6">
            <w:pPr>
              <w:jc w:val="center"/>
              <w:rPr>
                <w:b/>
                <w:color w:val="000000"/>
              </w:rPr>
            </w:pPr>
            <w:r>
              <w:rPr>
                <w:b/>
                <w:color w:val="000000"/>
              </w:rPr>
              <w:t>VESOL</w:t>
            </w:r>
            <w:r>
              <w:rPr>
                <w:b/>
                <w:color w:val="000000"/>
              </w:rPr>
              <w:br/>
              <w:t>Text</w:t>
            </w:r>
          </w:p>
        </w:tc>
        <w:tc>
          <w:tcPr>
            <w:tcW w:w="1200" w:type="pct"/>
            <w:tcBorders>
              <w:top w:val="single" w:sz="4" w:space="0" w:color="000000" w:themeColor="text1"/>
              <w:left w:val="nil"/>
              <w:bottom w:val="single" w:sz="4" w:space="0" w:color="000000" w:themeColor="text1"/>
              <w:right w:val="single" w:sz="4" w:space="0" w:color="000000" w:themeColor="text1"/>
            </w:tcBorders>
          </w:tcPr>
          <w:p w14:paraId="67C06455" w14:textId="68FF31BB" w:rsidR="005F5FB6" w:rsidRDefault="005F5FB6">
            <w:pPr>
              <w:jc w:val="center"/>
              <w:rPr>
                <w:b/>
                <w:color w:val="000000"/>
              </w:rPr>
            </w:pPr>
            <w:r>
              <w:rPr>
                <w:b/>
                <w:color w:val="000000"/>
              </w:rPr>
              <w:t>Complexity Continuum</w:t>
            </w:r>
          </w:p>
        </w:tc>
      </w:tr>
      <w:tr w:rsidR="005F5FB6" w14:paraId="155208E1" w14:textId="3F564D45" w:rsidTr="7FF93D71">
        <w:trPr>
          <w:trHeight w:val="2312"/>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19516" w14:textId="60B1EDC5" w:rsidR="005F5FB6" w:rsidRDefault="005F5FB6" w:rsidP="7FF93D71">
            <w:pPr>
              <w:jc w:val="center"/>
              <w:rPr>
                <w:rFonts w:asciiTheme="majorHAnsi" w:eastAsiaTheme="majorEastAsia" w:hAnsiTheme="majorHAnsi" w:cstheme="majorBidi"/>
                <w:color w:val="000000"/>
              </w:rPr>
            </w:pPr>
            <w:r w:rsidRPr="7FF93D71">
              <w:rPr>
                <w:rFonts w:asciiTheme="majorHAnsi" w:eastAsiaTheme="majorEastAsia" w:hAnsiTheme="majorHAnsi" w:cstheme="majorBidi"/>
                <w:color w:val="000000" w:themeColor="text1"/>
              </w:rPr>
              <w:t>S-HS 7</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9F11A2D" w14:textId="77777777" w:rsidR="005F5FB6" w:rsidRDefault="005F5FB6" w:rsidP="7FF93D71">
            <w:pPr>
              <w:rPr>
                <w:rFonts w:asciiTheme="majorHAnsi" w:eastAsiaTheme="majorEastAsia" w:hAnsiTheme="majorHAnsi" w:cstheme="majorBidi"/>
                <w:color w:val="000000"/>
              </w:rPr>
            </w:pPr>
            <w:r w:rsidRPr="7FF93D71">
              <w:rPr>
                <w:rFonts w:asciiTheme="majorHAnsi" w:eastAsiaTheme="majorEastAsia" w:hAnsiTheme="majorHAnsi" w:cstheme="majorBidi"/>
                <w:highlight w:val="white"/>
              </w:rPr>
              <w:t xml:space="preserve">Interactions of Life Forms and Ecosystem Dynamics </w:t>
            </w: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185F822" w14:textId="4F15F18F" w:rsidR="005F5FB6" w:rsidRDefault="482AFB40" w:rsidP="7FF93D71">
            <w:pPr>
              <w:rPr>
                <w:rFonts w:asciiTheme="majorHAnsi" w:eastAsiaTheme="majorEastAsia" w:hAnsiTheme="majorHAnsi" w:cstheme="majorBidi"/>
                <w:highlight w:val="white"/>
              </w:rPr>
            </w:pPr>
            <w:r w:rsidRPr="7FF93D71">
              <w:rPr>
                <w:rFonts w:asciiTheme="majorHAnsi" w:eastAsiaTheme="majorEastAsia" w:hAnsiTheme="majorHAnsi" w:cstheme="majorBidi"/>
                <w:highlight w:val="white"/>
              </w:rPr>
              <w:t>Recognize ways in which living organisms' traits help them adapt to and survive their environment.</w:t>
            </w:r>
          </w:p>
        </w:tc>
        <w:tc>
          <w:tcPr>
            <w:tcW w:w="1200" w:type="pct"/>
            <w:tcBorders>
              <w:top w:val="single" w:sz="4" w:space="0" w:color="000000" w:themeColor="text1"/>
              <w:left w:val="nil"/>
              <w:bottom w:val="single" w:sz="4" w:space="0" w:color="000000" w:themeColor="text1"/>
              <w:right w:val="single" w:sz="4" w:space="0" w:color="000000" w:themeColor="text1"/>
            </w:tcBorders>
          </w:tcPr>
          <w:p w14:paraId="4BFF7296" w14:textId="77777777" w:rsidR="00507B0D" w:rsidRPr="00507B0D" w:rsidRDefault="00507B0D" w:rsidP="00507B0D">
            <w:pPr>
              <w:pStyle w:val="ListParagraph"/>
              <w:ind w:left="0"/>
              <w:rPr>
                <w:rFonts w:asciiTheme="majorHAnsi" w:eastAsiaTheme="majorEastAsia" w:hAnsiTheme="majorHAnsi" w:cstheme="majorBidi"/>
              </w:rPr>
            </w:pPr>
            <w:r w:rsidRPr="00507B0D">
              <w:rPr>
                <w:rFonts w:asciiTheme="majorHAnsi" w:eastAsiaTheme="majorEastAsia" w:hAnsiTheme="majorHAnsi" w:cstheme="majorBidi"/>
              </w:rPr>
              <w:t>Using simple pictures, diagrams, or representations, concepts could range from:</w:t>
            </w:r>
          </w:p>
          <w:p w14:paraId="21DBC381" w14:textId="77777777" w:rsidR="00507B0D" w:rsidRPr="00507B0D" w:rsidRDefault="00507B0D" w:rsidP="00507B0D">
            <w:pPr>
              <w:pStyle w:val="ListParagraph"/>
              <w:numPr>
                <w:ilvl w:val="0"/>
                <w:numId w:val="4"/>
              </w:numPr>
              <w:rPr>
                <w:rFonts w:asciiTheme="majorHAnsi" w:eastAsiaTheme="majorEastAsia" w:hAnsiTheme="majorHAnsi" w:cstheme="majorBidi"/>
              </w:rPr>
            </w:pPr>
            <w:r w:rsidRPr="00507B0D">
              <w:rPr>
                <w:rFonts w:asciiTheme="majorHAnsi" w:eastAsiaTheme="majorEastAsia" w:hAnsiTheme="majorHAnsi" w:cstheme="majorBidi"/>
              </w:rPr>
              <w:t xml:space="preserve">recognizing simple traits (i.e., body parts, behaviors) of humans, animals, and plants that involve survival </w:t>
            </w:r>
            <w:r w:rsidRPr="00507B0D">
              <w:rPr>
                <w:rFonts w:asciiTheme="majorHAnsi" w:eastAsiaTheme="majorEastAsia" w:hAnsiTheme="majorHAnsi" w:cstheme="majorBidi"/>
                <w:i/>
              </w:rPr>
              <w:t>to</w:t>
            </w:r>
          </w:p>
          <w:p w14:paraId="06E7EBA2" w14:textId="77777777" w:rsidR="00507B0D" w:rsidRPr="00507B0D" w:rsidRDefault="00507B0D" w:rsidP="00507B0D">
            <w:pPr>
              <w:pStyle w:val="ListParagraph"/>
              <w:numPr>
                <w:ilvl w:val="0"/>
                <w:numId w:val="4"/>
              </w:numPr>
              <w:rPr>
                <w:rFonts w:asciiTheme="majorHAnsi" w:eastAsiaTheme="majorEastAsia" w:hAnsiTheme="majorHAnsi" w:cstheme="majorBidi"/>
              </w:rPr>
            </w:pPr>
            <w:r w:rsidRPr="00507B0D">
              <w:rPr>
                <w:rFonts w:asciiTheme="majorHAnsi" w:eastAsiaTheme="majorEastAsia" w:hAnsiTheme="majorHAnsi" w:cstheme="majorBidi"/>
              </w:rPr>
              <w:t xml:space="preserve">identifying the function of the traits of humans, animals, and plants that involve survival </w:t>
            </w:r>
            <w:r w:rsidRPr="00507B0D">
              <w:rPr>
                <w:rFonts w:asciiTheme="majorHAnsi" w:eastAsiaTheme="majorEastAsia" w:hAnsiTheme="majorHAnsi" w:cstheme="majorBidi"/>
                <w:i/>
              </w:rPr>
              <w:t>to</w:t>
            </w:r>
          </w:p>
          <w:p w14:paraId="6CDF23D5" w14:textId="3FCAEC23" w:rsidR="005F5FB6" w:rsidRDefault="00507B0D" w:rsidP="00507B0D">
            <w:pPr>
              <w:pStyle w:val="ListParagraph"/>
              <w:numPr>
                <w:ilvl w:val="0"/>
                <w:numId w:val="4"/>
              </w:numPr>
              <w:rPr>
                <w:rFonts w:asciiTheme="majorHAnsi" w:eastAsiaTheme="majorEastAsia" w:hAnsiTheme="majorHAnsi" w:cstheme="majorBidi"/>
              </w:rPr>
            </w:pPr>
            <w:r w:rsidRPr="00507B0D">
              <w:rPr>
                <w:rFonts w:asciiTheme="majorHAnsi" w:eastAsiaTheme="majorEastAsia" w:hAnsiTheme="majorHAnsi" w:cstheme="majorBidi"/>
              </w:rPr>
              <w:t>identifying a simple trait based on the function or purpose of the trait (e.g., rabbits use their ears to detect predators, ducks use their webbed feet to swim).</w:t>
            </w:r>
          </w:p>
        </w:tc>
      </w:tr>
    </w:tbl>
    <w:p w14:paraId="072B5757" w14:textId="77777777" w:rsidR="001315C9" w:rsidRPr="00A26F6C" w:rsidRDefault="001F4A4C" w:rsidP="00A26F6C">
      <w:pPr>
        <w:pStyle w:val="Heading1"/>
        <w:rPr>
          <w:sz w:val="28"/>
          <w:szCs w:val="28"/>
        </w:rPr>
      </w:pPr>
      <w:r w:rsidRPr="00A26F6C">
        <w:rPr>
          <w:sz w:val="28"/>
          <w:szCs w:val="28"/>
        </w:rPr>
        <w:t>Instructional Example</w:t>
      </w:r>
    </w:p>
    <w:p w14:paraId="24C24F8B" w14:textId="77777777" w:rsidR="001315C9" w:rsidRDefault="001F4A4C">
      <w:pPr>
        <w:spacing w:after="0"/>
        <w:rPr>
          <w:b/>
        </w:rPr>
      </w:pPr>
      <w:r>
        <w:rPr>
          <w:b/>
          <w:u w:val="single"/>
        </w:rPr>
        <w:t>Objective</w:t>
      </w:r>
      <w:r>
        <w:rPr>
          <w:b/>
        </w:rPr>
        <w:t>:</w:t>
      </w:r>
    </w:p>
    <w:p w14:paraId="4D723E0B" w14:textId="53C31E55" w:rsidR="001315C9" w:rsidRDefault="001F4A4C">
      <w:pPr>
        <w:spacing w:after="0"/>
        <w:rPr>
          <w:highlight w:val="white"/>
        </w:rPr>
      </w:pPr>
      <w:r>
        <w:rPr>
          <w:highlight w:val="white"/>
        </w:rPr>
        <w:t>Students will identify ways in which living organisms' traits help them adapt to and survive their environment.</w:t>
      </w:r>
    </w:p>
    <w:p w14:paraId="7F6F7C7D" w14:textId="77777777" w:rsidR="00507B0D" w:rsidRDefault="00507B0D">
      <w:pPr>
        <w:spacing w:after="0"/>
        <w:rPr>
          <w:color w:val="FF0000"/>
        </w:rPr>
      </w:pPr>
    </w:p>
    <w:p w14:paraId="32C30ED4" w14:textId="77777777" w:rsidR="001315C9" w:rsidRDefault="001F4A4C">
      <w:pPr>
        <w:spacing w:after="0"/>
        <w:rPr>
          <w:b/>
          <w:color w:val="000000"/>
          <w:u w:val="single"/>
        </w:rPr>
      </w:pPr>
      <w:r>
        <w:rPr>
          <w:b/>
          <w:color w:val="000000"/>
          <w:u w:val="single"/>
        </w:rPr>
        <w:t>Vocabulary:</w:t>
      </w:r>
    </w:p>
    <w:p w14:paraId="294F10EB" w14:textId="7307D0E7" w:rsidR="00A26F6C" w:rsidRDefault="001F4A4C" w:rsidP="00A26F6C">
      <w:pPr>
        <w:spacing w:after="0"/>
      </w:pPr>
      <w:r>
        <w:t>animals, humans, plants, food, shelter, water, oxygen/air, behavior, adaptation, defend, predator, prey, habitat, survival</w:t>
      </w:r>
    </w:p>
    <w:p w14:paraId="0DE613C0" w14:textId="77777777" w:rsidR="00507B0D" w:rsidRDefault="00507B0D" w:rsidP="00A26F6C">
      <w:pPr>
        <w:spacing w:after="0"/>
      </w:pPr>
    </w:p>
    <w:p w14:paraId="501DE2E3" w14:textId="77777777" w:rsidR="00A26F6C" w:rsidRDefault="00A26F6C" w:rsidP="00A26F6C">
      <w:pPr>
        <w:spacing w:after="0"/>
      </w:pPr>
    </w:p>
    <w:p w14:paraId="65EEC2C6" w14:textId="4E905A88" w:rsidR="001315C9" w:rsidRDefault="001F4A4C">
      <w:pPr>
        <w:spacing w:after="0"/>
        <w:rPr>
          <w:b/>
        </w:rPr>
      </w:pPr>
      <w:r>
        <w:rPr>
          <w:b/>
          <w:u w:val="single"/>
        </w:rPr>
        <w:lastRenderedPageBreak/>
        <w:t>Materials</w:t>
      </w:r>
      <w:r>
        <w:rPr>
          <w:b/>
        </w:rPr>
        <w:t>:</w:t>
      </w:r>
      <w:r w:rsidR="000566A1">
        <w:rPr>
          <w:b/>
        </w:rPr>
        <w:t xml:space="preserve"> </w:t>
      </w:r>
      <w:r w:rsidR="000566A1" w:rsidRPr="00375903">
        <w:rPr>
          <w:i/>
        </w:rPr>
        <w:t>Sample activities range across a continuum of complexity and may include materials such as</w:t>
      </w:r>
      <w:r w:rsidR="00EC7E05">
        <w:rPr>
          <w:i/>
        </w:rPr>
        <w:t>:</w:t>
      </w:r>
    </w:p>
    <w:p w14:paraId="0C51E7AB" w14:textId="40C5EA50" w:rsidR="001315C9" w:rsidRDefault="001F4A4C" w:rsidP="000566A1">
      <w:pPr>
        <w:spacing w:after="0"/>
      </w:pPr>
      <w:r>
        <w:t>real objects, experiential activities and manipulates that provide sensory awareness</w:t>
      </w:r>
      <w:r w:rsidR="000566A1">
        <w:t xml:space="preserve">, </w:t>
      </w:r>
      <w:r>
        <w:t>visuals, manipulatives, graphic organizers, science rubrics</w:t>
      </w:r>
      <w:r w:rsidR="000566A1">
        <w:t>,</w:t>
      </w:r>
      <w:r>
        <w:t xml:space="preserve"> science notebooks, charts, graphs for documenting change and problem solving</w:t>
      </w:r>
    </w:p>
    <w:p w14:paraId="03BADC94" w14:textId="77777777" w:rsidR="000566A1" w:rsidRDefault="000566A1" w:rsidP="000566A1">
      <w:pPr>
        <w:spacing w:after="0"/>
      </w:pPr>
    </w:p>
    <w:p w14:paraId="3D313E99" w14:textId="77777777" w:rsidR="001315C9" w:rsidRDefault="001F4A4C">
      <w:pPr>
        <w:rPr>
          <w:b/>
        </w:rPr>
      </w:pPr>
      <w:r>
        <w:rPr>
          <w:b/>
          <w:u w:val="single"/>
        </w:rPr>
        <w:t>Procedures for Instruction</w:t>
      </w:r>
      <w:r>
        <w:rPr>
          <w:b/>
        </w:rPr>
        <w:t>:</w:t>
      </w:r>
    </w:p>
    <w:p w14:paraId="71A2B517" w14:textId="77D861BF" w:rsidR="000566A1" w:rsidRDefault="001F4A4C">
      <w:pPr>
        <w:rPr>
          <w:i/>
        </w:rPr>
      </w:pPr>
      <w:r>
        <w:rPr>
          <w:i/>
        </w:rPr>
        <w:t xml:space="preserve">These instructional </w:t>
      </w:r>
      <w:r w:rsidR="002E5434">
        <w:rPr>
          <w:i/>
        </w:rPr>
        <w:t>activities</w:t>
      </w:r>
      <w:r>
        <w:rPr>
          <w:i/>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712188F4" w14:textId="77777777" w:rsidR="000566A1" w:rsidRDefault="000566A1">
      <w:pPr>
        <w:rPr>
          <w:b/>
        </w:rPr>
      </w:pPr>
      <w:r>
        <w:rPr>
          <w:b/>
        </w:rPr>
        <w:t>Sample Activity 1</w:t>
      </w:r>
    </w:p>
    <w:p w14:paraId="6DDCA800" w14:textId="209F7AF2" w:rsidR="001315C9" w:rsidRDefault="001F4A4C">
      <w:r>
        <w:t xml:space="preserve"> </w:t>
      </w:r>
      <w:r w:rsidR="000566A1">
        <w:t>The teacher will provide</w:t>
      </w:r>
      <w:r>
        <w:t xml:space="preserve"> hands</w:t>
      </w:r>
      <w:r w:rsidR="000566A1">
        <w:t>-</w:t>
      </w:r>
      <w:r>
        <w:t>on exploration</w:t>
      </w:r>
      <w:r w:rsidR="000566A1">
        <w:t xml:space="preserve"> opportunities</w:t>
      </w:r>
      <w:r>
        <w:t xml:space="preserve"> to look  for humans, animals and plants</w:t>
      </w:r>
      <w:r w:rsidR="000566A1">
        <w:t xml:space="preserve"> and using real objects, models identifying</w:t>
      </w:r>
      <w:r>
        <w:t xml:space="preserve"> </w:t>
      </w:r>
      <w:r w:rsidR="000566A1">
        <w:t>humans, animals and plants, and their</w:t>
      </w:r>
      <w:r>
        <w:t xml:space="preserve"> food, shelter and water sources. </w:t>
      </w:r>
      <w:r w:rsidR="000566A1">
        <w:t xml:space="preserve">Students respond to teacher modeling and </w:t>
      </w:r>
      <w:r>
        <w:t>identify through orientation, essential survival needs for themselves, including food and water.</w:t>
      </w:r>
    </w:p>
    <w:p w14:paraId="08F7D632" w14:textId="77777777" w:rsidR="000566A1" w:rsidRDefault="000566A1">
      <w:pPr>
        <w:rPr>
          <w:b/>
        </w:rPr>
      </w:pPr>
      <w:r>
        <w:rPr>
          <w:b/>
        </w:rPr>
        <w:t>Sample Activity 2</w:t>
      </w:r>
    </w:p>
    <w:p w14:paraId="4525FC97" w14:textId="139652EC" w:rsidR="001315C9" w:rsidRDefault="001F4A4C">
      <w:r>
        <w:t xml:space="preserve"> The teacher will facilitate an exploration of the students’ environment to locate humans, animals and plants.  Using visuals with pictures of basic needs (oxygen/air, food, water, shelter) for humans, animals and plants, the student will sort pictures of  simple traits that involve survival, linking the trait to its function.  (e.g. The shape of a bird’s beak enables it to eat.)</w:t>
      </w:r>
    </w:p>
    <w:p w14:paraId="63123BF0" w14:textId="77777777" w:rsidR="000566A1" w:rsidRDefault="000566A1">
      <w:pPr>
        <w:rPr>
          <w:b/>
        </w:rPr>
      </w:pPr>
      <w:r>
        <w:rPr>
          <w:b/>
        </w:rPr>
        <w:t>Sample Activity 3</w:t>
      </w:r>
    </w:p>
    <w:p w14:paraId="5D57F89B" w14:textId="0CACFA7D" w:rsidR="001315C9" w:rsidRDefault="001F4A4C">
      <w:pPr>
        <w:rPr>
          <w:i/>
        </w:rPr>
      </w:pPr>
      <w:r>
        <w:t>The teacher will facilitate an exploration of the students’ environment to locate humans, animals and plants.  Using visuals with pictures of basic needs (oxygen/air, food, water, shelter) for humans, animals and plants, the student will sort pictures onto a chart according to animals/humans/plants, what it needs to eat, where it needs to live, and its predators.</w:t>
      </w:r>
    </w:p>
    <w:p w14:paraId="0D62B47B" w14:textId="77777777" w:rsidR="000566A1" w:rsidRPr="000566A1" w:rsidRDefault="000566A1">
      <w:pPr>
        <w:rPr>
          <w:b/>
        </w:rPr>
      </w:pPr>
      <w:r w:rsidRPr="000566A1">
        <w:rPr>
          <w:b/>
        </w:rPr>
        <w:t>Sample Activity 4</w:t>
      </w:r>
    </w:p>
    <w:p w14:paraId="12E944A7" w14:textId="2802C595" w:rsidR="001315C9" w:rsidRDefault="001F4A4C">
      <w:r>
        <w:rPr>
          <w:i/>
        </w:rPr>
        <w:t xml:space="preserve"> </w:t>
      </w:r>
      <w:r>
        <w:t xml:space="preserve">The teacher will facilitate an exploration of the students’ environment to locate humans, animals and plants.  Using visuals with pictures of basic needs (oxygen/air, food, water, shelter) for humans, animals and plants, the student will complete a graphic organizer according to animals/humans/plants, what it needs to eat, where it needs to live, and its predators. In addition, the student will identify the function and purpose of one simple trait of each.  </w:t>
      </w:r>
    </w:p>
    <w:p w14:paraId="19FB7531" w14:textId="77777777" w:rsidR="001315C9" w:rsidRDefault="001F4A4C">
      <w:pPr>
        <w:rPr>
          <w:u w:val="single"/>
        </w:rPr>
      </w:pPr>
      <w:r>
        <w:rPr>
          <w:b/>
          <w:u w:val="single"/>
        </w:rPr>
        <w:t>Additional Resources:</w:t>
      </w:r>
      <w:r>
        <w:rPr>
          <w:u w:val="single"/>
        </w:rPr>
        <w:t xml:space="preserve"> </w:t>
      </w:r>
    </w:p>
    <w:p w14:paraId="00A7BD63" w14:textId="130D22BD" w:rsidR="001315C9" w:rsidRDefault="001F4A4C" w:rsidP="00A26F6C">
      <w:pPr>
        <w:rPr>
          <w:b/>
          <w:sz w:val="4"/>
          <w:szCs w:val="4"/>
        </w:rPr>
      </w:pPr>
      <w:r>
        <w:t>SOL Science Enhanced Scope and Sequence</w:t>
      </w:r>
      <w:r w:rsidR="00A26F6C">
        <w:t xml:space="preserve">- </w:t>
      </w:r>
      <w:hyperlink r:id="rId9">
        <w:r>
          <w:rPr>
            <w:color w:val="1155CC"/>
            <w:u w:val="single"/>
          </w:rPr>
          <w:t>https://www.doe.virginia.gov/testing/sol/standards_docs/science/2010/lesson_plans/index.shtml</w:t>
        </w:r>
      </w:hyperlink>
    </w:p>
    <w:p w14:paraId="3E193297" w14:textId="77777777" w:rsidR="001315C9" w:rsidRDefault="001F4A4C">
      <w:pPr>
        <w:spacing w:after="0"/>
        <w:rPr>
          <w:b/>
        </w:rPr>
      </w:pPr>
      <w:r>
        <w:rPr>
          <w:b/>
        </w:rPr>
        <w:t>Communication:</w:t>
      </w:r>
    </w:p>
    <w:p w14:paraId="67B6AA77" w14:textId="77777777" w:rsidR="001315C9" w:rsidRDefault="0041366D">
      <w:pPr>
        <w:numPr>
          <w:ilvl w:val="0"/>
          <w:numId w:val="2"/>
        </w:numPr>
        <w:spacing w:after="0" w:line="240" w:lineRule="auto"/>
      </w:pPr>
      <w:hyperlink r:id="rId10">
        <w:r w:rsidR="001F4A4C">
          <w:rPr>
            <w:color w:val="1155CC"/>
            <w:u w:val="single"/>
          </w:rPr>
          <w:t>36 Location Universal Core Board</w:t>
        </w:r>
      </w:hyperlink>
    </w:p>
    <w:p w14:paraId="65B673D7" w14:textId="77777777" w:rsidR="001315C9" w:rsidRDefault="001F4A4C">
      <w:pPr>
        <w:widowControl w:val="0"/>
        <w:numPr>
          <w:ilvl w:val="0"/>
          <w:numId w:val="2"/>
        </w:numPr>
        <w:spacing w:after="0" w:line="240" w:lineRule="auto"/>
      </w:pPr>
      <w:r>
        <w:t xml:space="preserve">Core Vocabulary and Science: Core words that can be modeled and targeted during lessons: </w:t>
      </w:r>
      <w:bookmarkStart w:id="0" w:name="_GoBack"/>
      <w:bookmarkEnd w:id="0"/>
    </w:p>
    <w:p w14:paraId="2386EC6E" w14:textId="77777777" w:rsidR="001315C9" w:rsidRDefault="001F4A4C">
      <w:pPr>
        <w:numPr>
          <w:ilvl w:val="1"/>
          <w:numId w:val="2"/>
        </w:numPr>
        <w:spacing w:after="0" w:line="240" w:lineRule="auto"/>
      </w:pPr>
      <w:r>
        <w:lastRenderedPageBreak/>
        <w:t>Need</w:t>
      </w:r>
    </w:p>
    <w:p w14:paraId="0A28EBF7" w14:textId="77777777" w:rsidR="001315C9" w:rsidRDefault="001F4A4C">
      <w:pPr>
        <w:numPr>
          <w:ilvl w:val="1"/>
          <w:numId w:val="2"/>
        </w:numPr>
        <w:spacing w:after="0" w:line="240" w:lineRule="auto"/>
      </w:pPr>
      <w:r>
        <w:t>Look/See</w:t>
      </w:r>
    </w:p>
    <w:p w14:paraId="5EF11874" w14:textId="77777777" w:rsidR="001315C9" w:rsidRDefault="001F4A4C">
      <w:pPr>
        <w:numPr>
          <w:ilvl w:val="1"/>
          <w:numId w:val="2"/>
        </w:numPr>
        <w:spacing w:after="0" w:line="240" w:lineRule="auto"/>
      </w:pPr>
      <w:r>
        <w:t>Eat/Drink</w:t>
      </w:r>
    </w:p>
    <w:p w14:paraId="6243FD0B" w14:textId="77777777" w:rsidR="001315C9" w:rsidRDefault="001F4A4C">
      <w:pPr>
        <w:numPr>
          <w:ilvl w:val="1"/>
          <w:numId w:val="2"/>
        </w:numPr>
        <w:spacing w:after="0" w:line="240" w:lineRule="auto"/>
      </w:pPr>
      <w:r>
        <w:t>Same/Different</w:t>
      </w:r>
    </w:p>
    <w:p w14:paraId="654F8634" w14:textId="77777777" w:rsidR="001315C9" w:rsidRDefault="001F4A4C">
      <w:pPr>
        <w:numPr>
          <w:ilvl w:val="1"/>
          <w:numId w:val="2"/>
        </w:numPr>
        <w:spacing w:after="0" w:line="240" w:lineRule="auto"/>
      </w:pPr>
      <w:r>
        <w:t>What do?</w:t>
      </w:r>
    </w:p>
    <w:p w14:paraId="4BCE9AE4" w14:textId="004586C3" w:rsidR="001315C9" w:rsidRPr="00A26F6C" w:rsidRDefault="001F4A4C" w:rsidP="00A26F6C">
      <w:pPr>
        <w:numPr>
          <w:ilvl w:val="1"/>
          <w:numId w:val="2"/>
        </w:numPr>
        <w:spacing w:after="0" w:line="240" w:lineRule="auto"/>
        <w:rPr>
          <w:rFonts w:ascii="Times New Roman" w:eastAsia="Times New Roman" w:hAnsi="Times New Roman" w:cs="Times New Roman"/>
          <w:b/>
          <w:sz w:val="24"/>
          <w:szCs w:val="24"/>
          <w:u w:val="single"/>
        </w:rPr>
      </w:pPr>
      <w:r>
        <w:t>It</w:t>
      </w:r>
    </w:p>
    <w:sectPr w:rsidR="001315C9" w:rsidRPr="00A26F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68A9"/>
    <w:multiLevelType w:val="multilevel"/>
    <w:tmpl w:val="D8E8D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92D68"/>
    <w:multiLevelType w:val="hybridMultilevel"/>
    <w:tmpl w:val="38406EA6"/>
    <w:lvl w:ilvl="0" w:tplc="5958E8A2">
      <w:start w:val="1"/>
      <w:numFmt w:val="bullet"/>
      <w:lvlText w:val=""/>
      <w:lvlJc w:val="left"/>
      <w:pPr>
        <w:ind w:left="360" w:hanging="360"/>
      </w:pPr>
      <w:rPr>
        <w:rFonts w:ascii="Symbol" w:hAnsi="Symbol" w:hint="default"/>
      </w:rPr>
    </w:lvl>
    <w:lvl w:ilvl="1" w:tplc="408A5094">
      <w:start w:val="1"/>
      <w:numFmt w:val="bullet"/>
      <w:lvlText w:val="o"/>
      <w:lvlJc w:val="left"/>
      <w:pPr>
        <w:ind w:left="1080" w:hanging="360"/>
      </w:pPr>
      <w:rPr>
        <w:rFonts w:ascii="Courier New" w:hAnsi="Courier New" w:hint="default"/>
      </w:rPr>
    </w:lvl>
    <w:lvl w:ilvl="2" w:tplc="97F2CC0E">
      <w:start w:val="1"/>
      <w:numFmt w:val="bullet"/>
      <w:lvlText w:val=""/>
      <w:lvlJc w:val="left"/>
      <w:pPr>
        <w:ind w:left="1800" w:hanging="360"/>
      </w:pPr>
      <w:rPr>
        <w:rFonts w:ascii="Wingdings" w:hAnsi="Wingdings" w:hint="default"/>
      </w:rPr>
    </w:lvl>
    <w:lvl w:ilvl="3" w:tplc="D7A0B924">
      <w:start w:val="1"/>
      <w:numFmt w:val="bullet"/>
      <w:lvlText w:val=""/>
      <w:lvlJc w:val="left"/>
      <w:pPr>
        <w:ind w:left="2520" w:hanging="360"/>
      </w:pPr>
      <w:rPr>
        <w:rFonts w:ascii="Symbol" w:hAnsi="Symbol" w:hint="default"/>
      </w:rPr>
    </w:lvl>
    <w:lvl w:ilvl="4" w:tplc="2C423D7C">
      <w:start w:val="1"/>
      <w:numFmt w:val="bullet"/>
      <w:lvlText w:val="o"/>
      <w:lvlJc w:val="left"/>
      <w:pPr>
        <w:ind w:left="3240" w:hanging="360"/>
      </w:pPr>
      <w:rPr>
        <w:rFonts w:ascii="Courier New" w:hAnsi="Courier New" w:hint="default"/>
      </w:rPr>
    </w:lvl>
    <w:lvl w:ilvl="5" w:tplc="25ACA38A">
      <w:start w:val="1"/>
      <w:numFmt w:val="bullet"/>
      <w:lvlText w:val=""/>
      <w:lvlJc w:val="left"/>
      <w:pPr>
        <w:ind w:left="3960" w:hanging="360"/>
      </w:pPr>
      <w:rPr>
        <w:rFonts w:ascii="Wingdings" w:hAnsi="Wingdings" w:hint="default"/>
      </w:rPr>
    </w:lvl>
    <w:lvl w:ilvl="6" w:tplc="93466C24">
      <w:start w:val="1"/>
      <w:numFmt w:val="bullet"/>
      <w:lvlText w:val=""/>
      <w:lvlJc w:val="left"/>
      <w:pPr>
        <w:ind w:left="4680" w:hanging="360"/>
      </w:pPr>
      <w:rPr>
        <w:rFonts w:ascii="Symbol" w:hAnsi="Symbol" w:hint="default"/>
      </w:rPr>
    </w:lvl>
    <w:lvl w:ilvl="7" w:tplc="19124B02">
      <w:start w:val="1"/>
      <w:numFmt w:val="bullet"/>
      <w:lvlText w:val="o"/>
      <w:lvlJc w:val="left"/>
      <w:pPr>
        <w:ind w:left="5400" w:hanging="360"/>
      </w:pPr>
      <w:rPr>
        <w:rFonts w:ascii="Courier New" w:hAnsi="Courier New" w:hint="default"/>
      </w:rPr>
    </w:lvl>
    <w:lvl w:ilvl="8" w:tplc="EE281A90">
      <w:start w:val="1"/>
      <w:numFmt w:val="bullet"/>
      <w:lvlText w:val=""/>
      <w:lvlJc w:val="left"/>
      <w:pPr>
        <w:ind w:left="6120" w:hanging="360"/>
      </w:pPr>
      <w:rPr>
        <w:rFonts w:ascii="Wingdings" w:hAnsi="Wingdings" w:hint="default"/>
      </w:rPr>
    </w:lvl>
  </w:abstractNum>
  <w:abstractNum w:abstractNumId="2" w15:restartNumberingAfterBreak="0">
    <w:nsid w:val="34112BBD"/>
    <w:multiLevelType w:val="hybridMultilevel"/>
    <w:tmpl w:val="68945214"/>
    <w:lvl w:ilvl="0" w:tplc="E6D652D6">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5CD93B01"/>
    <w:multiLevelType w:val="hybridMultilevel"/>
    <w:tmpl w:val="AE5C6A3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C9"/>
    <w:rsid w:val="000566A1"/>
    <w:rsid w:val="001315C9"/>
    <w:rsid w:val="001F4A4C"/>
    <w:rsid w:val="002E5434"/>
    <w:rsid w:val="00507B0D"/>
    <w:rsid w:val="005F5FB6"/>
    <w:rsid w:val="009073BB"/>
    <w:rsid w:val="00A26F6C"/>
    <w:rsid w:val="00AF632E"/>
    <w:rsid w:val="00C92F3E"/>
    <w:rsid w:val="00DF696F"/>
    <w:rsid w:val="00EC7E05"/>
    <w:rsid w:val="00F743D1"/>
    <w:rsid w:val="482AFB40"/>
    <w:rsid w:val="55F3866F"/>
    <w:rsid w:val="65619CCB"/>
    <w:rsid w:val="7FF9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0739"/>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project-core.com/36-location/" TargetMode="External"/><Relationship Id="rId4" Type="http://schemas.openxmlformats.org/officeDocument/2006/relationships/customXml" Target="../customXml/item4.xml"/><Relationship Id="rId9" Type="http://schemas.openxmlformats.org/officeDocument/2006/relationships/hyperlink" Target="https://www.doe.virginia.gov/testing/sol/standards_docs/science/2010/lesson_plan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5825-E331-4BB9-8470-2991090CB804}">
  <ds:schemaRefs>
    <ds:schemaRef ds:uri="http://schemas.microsoft.com/sharepoint/v3/contenttype/forms"/>
  </ds:schemaRefs>
</ds:datastoreItem>
</file>

<file path=customXml/itemProps2.xml><?xml version="1.0" encoding="utf-8"?>
<ds:datastoreItem xmlns:ds="http://schemas.openxmlformats.org/officeDocument/2006/customXml" ds:itemID="{F9364E74-CA82-4605-BC6B-545BB60AD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E0E83-4041-4BD0-ADDC-FD555A89AAC3}">
  <ds:schemaRefs>
    <ds:schemaRef ds:uri="http://www.w3.org/XML/1998/namespace"/>
    <ds:schemaRef ds:uri="e57f6c35-541a-4073-a2f6-49dc8be0127c"/>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67ced3dd-177e-454b-b64a-ad68f0d994e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831715B-7FF2-47FB-8EF9-FB755D49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3531</Characters>
  <Application>Microsoft Office Word</Application>
  <DocSecurity>0</DocSecurity>
  <Lines>176</Lines>
  <Paragraphs>86</Paragraphs>
  <ScaleCrop>false</ScaleCrop>
  <HeadingPairs>
    <vt:vector size="2" baseType="variant">
      <vt:variant>
        <vt:lpstr>Title</vt:lpstr>
      </vt:variant>
      <vt:variant>
        <vt:i4>1</vt:i4>
      </vt:variant>
    </vt:vector>
  </HeadingPairs>
  <TitlesOfParts>
    <vt:vector size="1" baseType="lpstr">
      <vt:lpstr>Virginia Essentialized Standards of Learning Science Bio 7.2</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7 Traits Help Organisms Adapt</dc:title>
  <dc:creator>VESOL Workgroup</dc:creator>
  <cp:lastModifiedBy>Karen S Berlin</cp:lastModifiedBy>
  <cp:revision>7</cp:revision>
  <cp:lastPrinted>2021-08-15T14:02:00Z</cp:lastPrinted>
  <dcterms:created xsi:type="dcterms:W3CDTF">2021-06-21T19:05:00Z</dcterms:created>
  <dcterms:modified xsi:type="dcterms:W3CDTF">2021-08-15T14:03:00Z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