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3A8A" w14:textId="10D85E73" w:rsidR="00AE7F33" w:rsidRPr="00AE7F33" w:rsidRDefault="00291229" w:rsidP="00831528">
      <w:pPr>
        <w:jc w:val="center"/>
      </w:pPr>
      <w:bookmarkStart w:id="0" w:name="_Hlk212016618"/>
      <w:r>
        <w:rPr>
          <w:b/>
          <w:bCs/>
        </w:rPr>
        <w:t xml:space="preserve">Transition Focused </w:t>
      </w:r>
      <w:r w:rsidR="00D50359">
        <w:rPr>
          <w:b/>
          <w:bCs/>
        </w:rPr>
        <w:t>Professional Learning</w:t>
      </w:r>
      <w:r>
        <w:rPr>
          <w:b/>
          <w:bCs/>
        </w:rPr>
        <w:t xml:space="preserve"> 2025 - 2026</w:t>
      </w:r>
      <w:r w:rsidR="00AE7F33" w:rsidRPr="00AE7F33">
        <w:t> </w:t>
      </w:r>
    </w:p>
    <w:tbl>
      <w:tblPr>
        <w:tblW w:w="10890" w:type="dxa"/>
        <w:tblInd w:w="-820" w:type="dxa"/>
        <w:tblCellMar>
          <w:left w:w="0" w:type="dxa"/>
          <w:right w:w="0" w:type="dxa"/>
        </w:tblCellMar>
        <w:tblLook w:val="04A0" w:firstRow="1" w:lastRow="0" w:firstColumn="1" w:lastColumn="0" w:noHBand="0" w:noVBand="1"/>
      </w:tblPr>
      <w:tblGrid>
        <w:gridCol w:w="2028"/>
        <w:gridCol w:w="5385"/>
        <w:gridCol w:w="1587"/>
        <w:gridCol w:w="1890"/>
      </w:tblGrid>
      <w:tr w:rsidR="00D50359" w:rsidRPr="00C91630" w14:paraId="76BAA22B" w14:textId="77777777" w:rsidTr="00C91630">
        <w:trPr>
          <w:trHeight w:val="495"/>
        </w:trPr>
        <w:tc>
          <w:tcPr>
            <w:tcW w:w="2028" w:type="dxa"/>
            <w:tcBorders>
              <w:top w:val="single" w:sz="8" w:space="0" w:color="000000"/>
              <w:left w:val="single" w:sz="8" w:space="0" w:color="000000"/>
              <w:bottom w:val="single" w:sz="8" w:space="0" w:color="000000"/>
              <w:right w:val="single" w:sz="8" w:space="0" w:color="000000"/>
            </w:tcBorders>
            <w:shd w:val="clear" w:color="auto" w:fill="D9F2D0" w:themeFill="accent6" w:themeFillTint="33"/>
            <w:tcMar>
              <w:top w:w="100" w:type="dxa"/>
              <w:left w:w="100" w:type="dxa"/>
              <w:bottom w:w="100" w:type="dxa"/>
              <w:right w:w="100" w:type="dxa"/>
            </w:tcMar>
            <w:hideMark/>
          </w:tcPr>
          <w:p w14:paraId="467B7B8D" w14:textId="77777777" w:rsidR="00AE7F33" w:rsidRPr="00AE7F33" w:rsidRDefault="00AE7F33" w:rsidP="00C91630">
            <w:pPr>
              <w:jc w:val="center"/>
            </w:pPr>
            <w:bookmarkStart w:id="1" w:name="_Hlk212017592"/>
            <w:r w:rsidRPr="00AE7F33">
              <w:rPr>
                <w:b/>
                <w:bCs/>
              </w:rPr>
              <w:t>Title</w:t>
            </w:r>
          </w:p>
        </w:tc>
        <w:tc>
          <w:tcPr>
            <w:tcW w:w="5385" w:type="dxa"/>
            <w:tcBorders>
              <w:top w:val="single" w:sz="8" w:space="0" w:color="000000"/>
              <w:left w:val="nil"/>
              <w:bottom w:val="single" w:sz="8" w:space="0" w:color="000000"/>
              <w:right w:val="single" w:sz="8" w:space="0" w:color="000000"/>
            </w:tcBorders>
            <w:shd w:val="clear" w:color="auto" w:fill="D9F2D0" w:themeFill="accent6" w:themeFillTint="33"/>
            <w:tcMar>
              <w:top w:w="100" w:type="dxa"/>
              <w:left w:w="100" w:type="dxa"/>
              <w:bottom w:w="100" w:type="dxa"/>
              <w:right w:w="100" w:type="dxa"/>
            </w:tcMar>
            <w:hideMark/>
          </w:tcPr>
          <w:p w14:paraId="0A3FABA4" w14:textId="77777777" w:rsidR="00AE7F33" w:rsidRPr="00AE7F33" w:rsidRDefault="00AE7F33" w:rsidP="00C91630">
            <w:pPr>
              <w:jc w:val="center"/>
            </w:pPr>
            <w:r w:rsidRPr="00AE7F33">
              <w:rPr>
                <w:b/>
                <w:bCs/>
              </w:rPr>
              <w:t>Description</w:t>
            </w:r>
          </w:p>
        </w:tc>
        <w:tc>
          <w:tcPr>
            <w:tcW w:w="1587" w:type="dxa"/>
            <w:tcBorders>
              <w:top w:val="single" w:sz="8" w:space="0" w:color="000000"/>
              <w:left w:val="nil"/>
              <w:bottom w:val="single" w:sz="8" w:space="0" w:color="000000"/>
              <w:right w:val="single" w:sz="8" w:space="0" w:color="000000"/>
            </w:tcBorders>
            <w:shd w:val="clear" w:color="auto" w:fill="D9F2D0" w:themeFill="accent6" w:themeFillTint="33"/>
            <w:tcMar>
              <w:top w:w="100" w:type="dxa"/>
              <w:left w:w="100" w:type="dxa"/>
              <w:bottom w:w="100" w:type="dxa"/>
              <w:right w:w="100" w:type="dxa"/>
            </w:tcMar>
            <w:hideMark/>
          </w:tcPr>
          <w:p w14:paraId="47A856C5" w14:textId="77777777" w:rsidR="00AE7F33" w:rsidRPr="00AE7F33" w:rsidRDefault="00AE7F33" w:rsidP="00C91630">
            <w:pPr>
              <w:jc w:val="center"/>
            </w:pPr>
            <w:r w:rsidRPr="00AE7F33">
              <w:rPr>
                <w:b/>
                <w:bCs/>
              </w:rPr>
              <w:t>Date</w:t>
            </w:r>
          </w:p>
        </w:tc>
        <w:tc>
          <w:tcPr>
            <w:tcW w:w="1890" w:type="dxa"/>
            <w:tcBorders>
              <w:top w:val="single" w:sz="8" w:space="0" w:color="000000"/>
              <w:left w:val="nil"/>
              <w:bottom w:val="single" w:sz="8" w:space="0" w:color="000000"/>
              <w:right w:val="single" w:sz="8" w:space="0" w:color="000000"/>
            </w:tcBorders>
            <w:shd w:val="clear" w:color="auto" w:fill="D9F2D0" w:themeFill="accent6" w:themeFillTint="33"/>
            <w:tcMar>
              <w:top w:w="100" w:type="dxa"/>
              <w:left w:w="100" w:type="dxa"/>
              <w:bottom w:w="100" w:type="dxa"/>
              <w:right w:w="100" w:type="dxa"/>
            </w:tcMar>
            <w:hideMark/>
          </w:tcPr>
          <w:p w14:paraId="20159324" w14:textId="299B9451" w:rsidR="00AE7F33" w:rsidRPr="00AE7F33" w:rsidRDefault="00D50359" w:rsidP="00C91630">
            <w:pPr>
              <w:jc w:val="center"/>
            </w:pPr>
            <w:r w:rsidRPr="00C91630">
              <w:rPr>
                <w:b/>
                <w:bCs/>
              </w:rPr>
              <w:t>Registration</w:t>
            </w:r>
          </w:p>
        </w:tc>
      </w:tr>
      <w:tr w:rsidR="00D50359" w:rsidRPr="00AE7F33" w14:paraId="6F3B8056" w14:textId="77777777" w:rsidTr="00C91630">
        <w:trPr>
          <w:trHeight w:val="2004"/>
        </w:trPr>
        <w:tc>
          <w:tcPr>
            <w:tcW w:w="2028" w:type="dxa"/>
            <w:tcBorders>
              <w:top w:val="single" w:sz="8" w:space="0" w:color="000000"/>
              <w:left w:val="single" w:sz="8" w:space="0" w:color="000000"/>
              <w:bottom w:val="single" w:sz="8" w:space="0" w:color="000000"/>
              <w:right w:val="single" w:sz="8" w:space="0" w:color="000000"/>
            </w:tcBorders>
            <w:shd w:val="clear" w:color="auto" w:fill="F2CEED" w:themeFill="accent5" w:themeFillTint="33"/>
            <w:tcMar>
              <w:top w:w="100" w:type="dxa"/>
              <w:left w:w="100" w:type="dxa"/>
              <w:bottom w:w="100" w:type="dxa"/>
              <w:right w:w="100" w:type="dxa"/>
            </w:tcMar>
          </w:tcPr>
          <w:p w14:paraId="0205318B" w14:textId="1CB0A55F" w:rsidR="00D50359" w:rsidRPr="00D50359" w:rsidRDefault="00D50359" w:rsidP="00AE7F33">
            <w:pPr>
              <w:rPr>
                <w:b/>
                <w:bCs/>
                <w:sz w:val="22"/>
                <w:szCs w:val="22"/>
              </w:rPr>
            </w:pPr>
            <w:r w:rsidRPr="00D50359">
              <w:rPr>
                <w:b/>
                <w:bCs/>
                <w:sz w:val="22"/>
                <w:szCs w:val="22"/>
              </w:rPr>
              <w:t>Discovering Me!</w:t>
            </w:r>
          </w:p>
        </w:tc>
        <w:tc>
          <w:tcPr>
            <w:tcW w:w="53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4A5F2A" w14:textId="5831305C" w:rsidR="00D50359" w:rsidRPr="00D50359" w:rsidRDefault="00D50359" w:rsidP="00C91630">
            <w:pPr>
              <w:rPr>
                <w:b/>
                <w:bCs/>
                <w:sz w:val="22"/>
                <w:szCs w:val="22"/>
              </w:rPr>
            </w:pPr>
            <w:r w:rsidRPr="00D50359">
              <w:rPr>
                <w:rFonts w:ascii="Arial" w:hAnsi="Arial" w:cs="Arial"/>
                <w:sz w:val="22"/>
                <w:szCs w:val="22"/>
              </w:rPr>
              <w:t xml:space="preserve">Join TTAC at GMU and the Center for Transition Innovation at VCU’s Kendel St. John for a one-hour virtual professional learning session on </w:t>
            </w:r>
            <w:r w:rsidRPr="00C91630">
              <w:rPr>
                <w:rStyle w:val="Strong"/>
                <w:rFonts w:ascii="Arial" w:hAnsi="Arial" w:cs="Arial"/>
                <w:b w:val="0"/>
                <w:bCs w:val="0"/>
                <w:sz w:val="22"/>
                <w:szCs w:val="22"/>
              </w:rPr>
              <w:t>Discovering ME</w:t>
            </w:r>
            <w:r w:rsidRPr="00C91630">
              <w:rPr>
                <w:rFonts w:ascii="Arial" w:hAnsi="Arial" w:cs="Arial"/>
                <w:b/>
                <w:bCs/>
                <w:sz w:val="22"/>
                <w:szCs w:val="22"/>
              </w:rPr>
              <w:t xml:space="preserve">, </w:t>
            </w:r>
            <w:r w:rsidR="00C91630">
              <w:rPr>
                <w:rFonts w:ascii="Arial" w:hAnsi="Arial" w:cs="Arial"/>
                <w:sz w:val="22"/>
                <w:szCs w:val="22"/>
              </w:rPr>
              <w:t>a research-based</w:t>
            </w:r>
            <w:r w:rsidRPr="00C91630">
              <w:rPr>
                <w:rFonts w:ascii="Arial" w:hAnsi="Arial" w:cs="Arial"/>
                <w:sz w:val="22"/>
                <w:szCs w:val="22"/>
              </w:rPr>
              <w:t xml:space="preserve"> person-centered planning framework designed to uncover each student’s strengths and guide meaningful, customized career planning, starting as early as middle school.</w:t>
            </w:r>
          </w:p>
        </w:tc>
        <w:tc>
          <w:tcPr>
            <w:tcW w:w="158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9E23DD" w14:textId="77777777" w:rsidR="00C91630" w:rsidRPr="00C91630" w:rsidRDefault="00D50359" w:rsidP="00D50359">
            <w:pPr>
              <w:rPr>
                <w:sz w:val="22"/>
                <w:szCs w:val="22"/>
              </w:rPr>
            </w:pPr>
            <w:r w:rsidRPr="00C91630">
              <w:rPr>
                <w:sz w:val="22"/>
                <w:szCs w:val="22"/>
              </w:rPr>
              <w:t xml:space="preserve">10/28/2025  </w:t>
            </w:r>
          </w:p>
          <w:p w14:paraId="1E32E8DA" w14:textId="6F6624C9" w:rsidR="00D50359" w:rsidRPr="00C91630" w:rsidRDefault="00D50359" w:rsidP="00D50359">
            <w:pPr>
              <w:rPr>
                <w:sz w:val="22"/>
                <w:szCs w:val="22"/>
              </w:rPr>
            </w:pPr>
            <w:r w:rsidRPr="00C91630">
              <w:rPr>
                <w:sz w:val="22"/>
                <w:szCs w:val="22"/>
              </w:rPr>
              <w:t>4</w:t>
            </w:r>
            <w:r w:rsidR="00C91630" w:rsidRPr="00C91630">
              <w:rPr>
                <w:sz w:val="22"/>
                <w:szCs w:val="22"/>
              </w:rPr>
              <w:t xml:space="preserve">:00 </w:t>
            </w:r>
            <w:r w:rsidRPr="00C91630">
              <w:rPr>
                <w:sz w:val="22"/>
                <w:szCs w:val="22"/>
              </w:rPr>
              <w:t xml:space="preserve">PM </w:t>
            </w:r>
          </w:p>
          <w:p w14:paraId="6C31948A" w14:textId="77777777" w:rsidR="00D50359" w:rsidRPr="00C91630" w:rsidRDefault="00D50359" w:rsidP="00AE7F33">
            <w:pPr>
              <w:rPr>
                <w:sz w:val="22"/>
                <w:szCs w:val="22"/>
              </w:rPr>
            </w:pPr>
          </w:p>
        </w:tc>
        <w:tc>
          <w:tcPr>
            <w:tcW w:w="18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1C7183" w14:textId="52FD1938" w:rsidR="00D50359" w:rsidRPr="00C91630" w:rsidRDefault="006322D1" w:rsidP="00AE7F33">
            <w:pPr>
              <w:rPr>
                <w:sz w:val="22"/>
                <w:szCs w:val="22"/>
              </w:rPr>
            </w:pPr>
            <w:hyperlink r:id="rId6" w:history="1">
              <w:r w:rsidR="00D50359" w:rsidRPr="00C91630">
                <w:rPr>
                  <w:rStyle w:val="Hyperlink"/>
                  <w:sz w:val="22"/>
                  <w:szCs w:val="22"/>
                </w:rPr>
                <w:t xml:space="preserve">Discovering Me! </w:t>
              </w:r>
            </w:hyperlink>
          </w:p>
        </w:tc>
      </w:tr>
      <w:tr w:rsidR="00D50359" w:rsidRPr="00AE7F33" w14:paraId="79D058E3" w14:textId="77777777" w:rsidTr="00C91630">
        <w:trPr>
          <w:trHeight w:val="495"/>
        </w:trPr>
        <w:tc>
          <w:tcPr>
            <w:tcW w:w="2028" w:type="dxa"/>
            <w:tcBorders>
              <w:top w:val="single" w:sz="8" w:space="0" w:color="000000"/>
              <w:left w:val="single" w:sz="8" w:space="0" w:color="000000"/>
              <w:bottom w:val="single" w:sz="8" w:space="0" w:color="000000"/>
              <w:right w:val="single" w:sz="8" w:space="0" w:color="000000"/>
            </w:tcBorders>
            <w:shd w:val="clear" w:color="auto" w:fill="E8E8E8" w:themeFill="background2"/>
            <w:tcMar>
              <w:top w:w="100" w:type="dxa"/>
              <w:left w:w="100" w:type="dxa"/>
              <w:bottom w:w="100" w:type="dxa"/>
              <w:right w:w="100" w:type="dxa"/>
            </w:tcMar>
          </w:tcPr>
          <w:p w14:paraId="33E2715A" w14:textId="633FC99B" w:rsidR="00D50359" w:rsidRPr="00AE7F33" w:rsidRDefault="00C91630" w:rsidP="00AE7F33">
            <w:pPr>
              <w:rPr>
                <w:b/>
                <w:bCs/>
              </w:rPr>
            </w:pPr>
            <w:r>
              <w:rPr>
                <w:b/>
                <w:bCs/>
              </w:rPr>
              <w:t>AI in Education</w:t>
            </w:r>
          </w:p>
        </w:tc>
        <w:tc>
          <w:tcPr>
            <w:tcW w:w="53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23590C" w14:textId="73B4510D" w:rsidR="00D50359" w:rsidRPr="00BC3CE9" w:rsidRDefault="00BC3CE9" w:rsidP="00C91630">
            <w:pPr>
              <w:rPr>
                <w:rFonts w:ascii="Arial" w:hAnsi="Arial" w:cs="Arial"/>
                <w:b/>
                <w:bCs/>
                <w:sz w:val="22"/>
                <w:szCs w:val="22"/>
              </w:rPr>
            </w:pPr>
            <w:r w:rsidRPr="00BC3CE9">
              <w:rPr>
                <w:rFonts w:ascii="Arial" w:hAnsi="Arial" w:cs="Arial"/>
                <w:sz w:val="22"/>
                <w:szCs w:val="22"/>
              </w:rPr>
              <w:t xml:space="preserve">Join TTAC at GMU and AI experts in this important series that shares how to use AI in your practice. </w:t>
            </w:r>
          </w:p>
        </w:tc>
        <w:tc>
          <w:tcPr>
            <w:tcW w:w="158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30AD91" w14:textId="77777777" w:rsidR="00C91630" w:rsidRPr="00BC3CE9" w:rsidRDefault="00C91630" w:rsidP="00BC3CE9">
            <w:pPr>
              <w:rPr>
                <w:rFonts w:ascii="Arial" w:hAnsi="Arial" w:cs="Arial"/>
                <w:sz w:val="20"/>
                <w:szCs w:val="20"/>
              </w:rPr>
            </w:pPr>
            <w:r w:rsidRPr="00BC3CE9">
              <w:rPr>
                <w:rFonts w:ascii="Arial" w:hAnsi="Arial" w:cs="Arial"/>
                <w:sz w:val="20"/>
                <w:szCs w:val="20"/>
              </w:rPr>
              <w:t>10/29/2025</w:t>
            </w:r>
            <w:r w:rsidR="00BC3CE9" w:rsidRPr="00BC3CE9">
              <w:rPr>
                <w:rFonts w:ascii="Arial" w:hAnsi="Arial" w:cs="Arial"/>
                <w:sz w:val="20"/>
                <w:szCs w:val="20"/>
              </w:rPr>
              <w:t xml:space="preserve"> &amp; 12/11/2025 </w:t>
            </w:r>
          </w:p>
          <w:p w14:paraId="141BE28D" w14:textId="6EBBC60A" w:rsidR="00BC3CE9" w:rsidRPr="00C91630" w:rsidRDefault="00BC3CE9" w:rsidP="00BC3CE9">
            <w:r w:rsidRPr="00BC3CE9">
              <w:rPr>
                <w:rFonts w:ascii="Arial" w:hAnsi="Arial" w:cs="Arial"/>
                <w:sz w:val="20"/>
                <w:szCs w:val="20"/>
              </w:rPr>
              <w:t>@ 4:00 PM</w:t>
            </w:r>
            <w:r>
              <w:t xml:space="preserve">  </w:t>
            </w:r>
          </w:p>
        </w:tc>
        <w:tc>
          <w:tcPr>
            <w:tcW w:w="18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DF1379" w14:textId="77777777" w:rsidR="00C91630" w:rsidRPr="00C91630" w:rsidRDefault="006322D1" w:rsidP="00C91630">
            <w:pPr>
              <w:rPr>
                <w:rFonts w:ascii="Arial" w:hAnsi="Arial" w:cs="Arial"/>
                <w:sz w:val="22"/>
                <w:szCs w:val="22"/>
              </w:rPr>
            </w:pPr>
            <w:hyperlink r:id="rId7" w:history="1">
              <w:r w:rsidR="00C91630" w:rsidRPr="00C91630">
                <w:rPr>
                  <w:rStyle w:val="Hyperlink"/>
                  <w:rFonts w:ascii="Arial" w:hAnsi="Arial" w:cs="Arial"/>
                  <w:sz w:val="22"/>
                  <w:szCs w:val="22"/>
                </w:rPr>
                <w:t xml:space="preserve">GMU TTAC AI in Education Series </w:t>
              </w:r>
            </w:hyperlink>
          </w:p>
          <w:p w14:paraId="0CCEEFC0" w14:textId="77777777" w:rsidR="00D50359" w:rsidRPr="00C91630" w:rsidRDefault="00D50359" w:rsidP="00AE7F33"/>
        </w:tc>
      </w:tr>
      <w:tr w:rsidR="00C91630" w:rsidRPr="00AE7F33" w14:paraId="15077C23" w14:textId="77777777" w:rsidTr="00C91630">
        <w:trPr>
          <w:trHeight w:val="1511"/>
        </w:trPr>
        <w:tc>
          <w:tcPr>
            <w:tcW w:w="2028" w:type="dxa"/>
            <w:tcBorders>
              <w:top w:val="nil"/>
              <w:left w:val="single" w:sz="8" w:space="0" w:color="000000"/>
              <w:bottom w:val="single" w:sz="8" w:space="0" w:color="000000"/>
              <w:right w:val="single" w:sz="8" w:space="0" w:color="000000"/>
            </w:tcBorders>
            <w:shd w:val="clear" w:color="auto" w:fill="DAE9F7" w:themeFill="text2" w:themeFillTint="1A"/>
            <w:tcMar>
              <w:top w:w="100" w:type="dxa"/>
              <w:left w:w="100" w:type="dxa"/>
              <w:bottom w:w="100" w:type="dxa"/>
              <w:right w:w="100" w:type="dxa"/>
            </w:tcMar>
            <w:hideMark/>
          </w:tcPr>
          <w:p w14:paraId="70EC4082" w14:textId="77777777" w:rsidR="00AE7F33" w:rsidRPr="00AE7F33" w:rsidRDefault="00AE7F33" w:rsidP="00AE7F33">
            <w:pPr>
              <w:rPr>
                <w:rFonts w:ascii="Arial" w:hAnsi="Arial" w:cs="Arial"/>
                <w:sz w:val="22"/>
                <w:szCs w:val="22"/>
              </w:rPr>
            </w:pPr>
            <w:r w:rsidRPr="00AE7F33">
              <w:rPr>
                <w:rFonts w:ascii="Arial" w:hAnsi="Arial" w:cs="Arial"/>
                <w:b/>
                <w:bCs/>
                <w:sz w:val="22"/>
                <w:szCs w:val="22"/>
              </w:rPr>
              <w:t>Pre-ETS: Post-Secondary Education Roundtable</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hideMark/>
          </w:tcPr>
          <w:p w14:paraId="3273A2DB" w14:textId="79E29AE9" w:rsidR="00AE7F33" w:rsidRPr="00AE7F33" w:rsidRDefault="00AE7F33" w:rsidP="00AE7F33">
            <w:pPr>
              <w:rPr>
                <w:rFonts w:ascii="Arial" w:hAnsi="Arial" w:cs="Arial"/>
                <w:sz w:val="22"/>
                <w:szCs w:val="22"/>
              </w:rPr>
            </w:pPr>
            <w:r w:rsidRPr="00AE7F33">
              <w:rPr>
                <w:rFonts w:ascii="Arial" w:hAnsi="Arial" w:cs="Arial"/>
                <w:sz w:val="22"/>
                <w:szCs w:val="22"/>
              </w:rPr>
              <w:t xml:space="preserve">In this session, we will examine various pathways, including Inclusive Postsecondary Education programs (IPSE), higher education, and vocational training. Additionally, we will review accommodations and </w:t>
            </w:r>
            <w:r w:rsidR="00C91630" w:rsidRPr="00846CC3">
              <w:rPr>
                <w:rFonts w:ascii="Arial" w:hAnsi="Arial" w:cs="Arial"/>
                <w:sz w:val="22"/>
                <w:szCs w:val="22"/>
              </w:rPr>
              <w:t>support</w:t>
            </w:r>
            <w:r w:rsidRPr="00AE7F33">
              <w:rPr>
                <w:rFonts w:ascii="Arial" w:hAnsi="Arial" w:cs="Arial"/>
                <w:sz w:val="22"/>
                <w:szCs w:val="22"/>
              </w:rPr>
              <w:t xml:space="preserve"> for students at the postsecondary level.</w:t>
            </w:r>
          </w:p>
        </w:tc>
        <w:tc>
          <w:tcPr>
            <w:tcW w:w="1587" w:type="dxa"/>
            <w:tcBorders>
              <w:top w:val="nil"/>
              <w:left w:val="nil"/>
              <w:bottom w:val="single" w:sz="8" w:space="0" w:color="000000"/>
              <w:right w:val="single" w:sz="8" w:space="0" w:color="000000"/>
            </w:tcBorders>
            <w:tcMar>
              <w:top w:w="100" w:type="dxa"/>
              <w:left w:w="100" w:type="dxa"/>
              <w:bottom w:w="100" w:type="dxa"/>
              <w:right w:w="100" w:type="dxa"/>
            </w:tcMar>
            <w:hideMark/>
          </w:tcPr>
          <w:p w14:paraId="193B6721" w14:textId="77777777" w:rsidR="00AE7F33" w:rsidRPr="00AE7F33" w:rsidRDefault="00AE7F33" w:rsidP="00AE7F33">
            <w:pPr>
              <w:rPr>
                <w:rFonts w:ascii="Arial" w:hAnsi="Arial" w:cs="Arial"/>
                <w:sz w:val="22"/>
                <w:szCs w:val="22"/>
              </w:rPr>
            </w:pPr>
            <w:r w:rsidRPr="00AE7F33">
              <w:rPr>
                <w:rFonts w:ascii="Arial" w:hAnsi="Arial" w:cs="Arial"/>
                <w:sz w:val="22"/>
                <w:szCs w:val="22"/>
              </w:rPr>
              <w:t>11/6/25 @ 3:00 PM</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hideMark/>
          </w:tcPr>
          <w:p w14:paraId="16F01FFA" w14:textId="77777777" w:rsidR="00AE7F33" w:rsidRPr="00AE7F33" w:rsidRDefault="006322D1" w:rsidP="00AE7F33">
            <w:pPr>
              <w:rPr>
                <w:rFonts w:ascii="Arial" w:hAnsi="Arial" w:cs="Arial"/>
                <w:sz w:val="22"/>
                <w:szCs w:val="22"/>
              </w:rPr>
            </w:pPr>
            <w:hyperlink r:id="rId8" w:tgtFrame="_blank" w:history="1">
              <w:r w:rsidR="00AE7F33" w:rsidRPr="00AE7F33">
                <w:rPr>
                  <w:rStyle w:val="Hyperlink"/>
                  <w:rFonts w:ascii="Arial" w:hAnsi="Arial" w:cs="Arial"/>
                  <w:sz w:val="22"/>
                  <w:szCs w:val="22"/>
                </w:rPr>
                <w:t>Registration</w:t>
              </w:r>
            </w:hyperlink>
          </w:p>
        </w:tc>
      </w:tr>
      <w:tr w:rsidR="00C91630" w:rsidRPr="00AE7F33" w14:paraId="0058490A" w14:textId="77777777" w:rsidTr="00C91630">
        <w:trPr>
          <w:trHeight w:val="3240"/>
        </w:trPr>
        <w:tc>
          <w:tcPr>
            <w:tcW w:w="2028" w:type="dxa"/>
            <w:tcBorders>
              <w:top w:val="nil"/>
              <w:left w:val="single" w:sz="8" w:space="0" w:color="000000"/>
              <w:bottom w:val="single" w:sz="8" w:space="0" w:color="000000"/>
              <w:right w:val="single" w:sz="8" w:space="0" w:color="000000"/>
            </w:tcBorders>
            <w:shd w:val="clear" w:color="auto" w:fill="C1F0C7" w:themeFill="accent3" w:themeFillTint="33"/>
            <w:tcMar>
              <w:top w:w="100" w:type="dxa"/>
              <w:left w:w="100" w:type="dxa"/>
              <w:bottom w:w="100" w:type="dxa"/>
              <w:right w:w="100" w:type="dxa"/>
            </w:tcMar>
          </w:tcPr>
          <w:p w14:paraId="7BDF6148" w14:textId="25FC6215" w:rsidR="00C91630" w:rsidRPr="00831528" w:rsidRDefault="00C91630" w:rsidP="00AE7F33">
            <w:pPr>
              <w:rPr>
                <w:rFonts w:ascii="Arial" w:hAnsi="Arial" w:cs="Arial"/>
                <w:b/>
                <w:bCs/>
                <w:sz w:val="22"/>
                <w:szCs w:val="22"/>
              </w:rPr>
            </w:pPr>
            <w:r w:rsidRPr="00831528">
              <w:rPr>
                <w:rFonts w:ascii="Arial" w:hAnsi="Arial" w:cs="Arial"/>
                <w:b/>
                <w:bCs/>
                <w:sz w:val="22"/>
                <w:szCs w:val="22"/>
              </w:rPr>
              <w:t xml:space="preserve">Indicator 13 Bootcamp (Facilitated Asynchronous) </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tcPr>
          <w:p w14:paraId="43A3FB12" w14:textId="05BC9DE4" w:rsidR="00C91630" w:rsidRPr="00846CC3" w:rsidRDefault="00C91630" w:rsidP="00C91630">
            <w:pPr>
              <w:rPr>
                <w:rFonts w:ascii="Arial" w:hAnsi="Arial" w:cs="Arial"/>
                <w:sz w:val="22"/>
                <w:szCs w:val="22"/>
              </w:rPr>
            </w:pPr>
            <w:r w:rsidRPr="00846CC3">
              <w:rPr>
                <w:rFonts w:ascii="Arial" w:hAnsi="Arial" w:cs="Arial"/>
                <w:sz w:val="22"/>
                <w:szCs w:val="22"/>
              </w:rPr>
              <w:t xml:space="preserve">This 4-week professional learning is asynchronous and completed 100% online on Canvas. Participants will read and complete weekly application projects, which are integrated with teachers’ work in developing transition plans.  Participants will engage in discussions with other teachers in the professional learning session asynchronously. Estimated time to complete each weekly module is 60 – 90 minutes per week with application projects.  </w:t>
            </w:r>
          </w:p>
        </w:tc>
        <w:tc>
          <w:tcPr>
            <w:tcW w:w="1587" w:type="dxa"/>
            <w:tcBorders>
              <w:top w:val="nil"/>
              <w:left w:val="nil"/>
              <w:bottom w:val="single" w:sz="8" w:space="0" w:color="000000"/>
              <w:right w:val="single" w:sz="8" w:space="0" w:color="000000"/>
            </w:tcBorders>
            <w:tcMar>
              <w:top w:w="100" w:type="dxa"/>
              <w:left w:w="100" w:type="dxa"/>
              <w:bottom w:w="100" w:type="dxa"/>
              <w:right w:w="100" w:type="dxa"/>
            </w:tcMar>
          </w:tcPr>
          <w:p w14:paraId="04E3BB62" w14:textId="37A6D1CE" w:rsidR="00C91630" w:rsidRPr="00846CC3" w:rsidRDefault="00D3577A" w:rsidP="00AE7F33">
            <w:pPr>
              <w:rPr>
                <w:rFonts w:ascii="Arial" w:hAnsi="Arial" w:cs="Arial"/>
                <w:sz w:val="22"/>
                <w:szCs w:val="22"/>
              </w:rPr>
            </w:pPr>
            <w:r>
              <w:rPr>
                <w:rFonts w:ascii="Arial" w:hAnsi="Arial" w:cs="Arial"/>
                <w:sz w:val="22"/>
                <w:szCs w:val="22"/>
              </w:rPr>
              <w:t>1/</w:t>
            </w:r>
            <w:r w:rsidR="00C91630" w:rsidRPr="00846CC3">
              <w:rPr>
                <w:rFonts w:ascii="Arial" w:hAnsi="Arial" w:cs="Arial"/>
                <w:sz w:val="22"/>
                <w:szCs w:val="22"/>
              </w:rPr>
              <w:t>12</w:t>
            </w:r>
            <w:r>
              <w:rPr>
                <w:rFonts w:ascii="Arial" w:hAnsi="Arial" w:cs="Arial"/>
                <w:sz w:val="22"/>
                <w:szCs w:val="22"/>
              </w:rPr>
              <w:t xml:space="preserve"> – 2/9</w:t>
            </w:r>
            <w:r w:rsidR="00C91630" w:rsidRPr="00846CC3">
              <w:rPr>
                <w:rFonts w:ascii="Arial" w:hAnsi="Arial" w:cs="Arial"/>
                <w:sz w:val="22"/>
                <w:szCs w:val="22"/>
              </w:rPr>
              <w:t xml:space="preserve"> 2026</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2F9849E9" w14:textId="4573D4B9" w:rsidR="00C91630" w:rsidRPr="00846CC3" w:rsidRDefault="006322D1" w:rsidP="00C91630">
            <w:pPr>
              <w:rPr>
                <w:rFonts w:ascii="Arial" w:hAnsi="Arial" w:cs="Arial"/>
                <w:sz w:val="22"/>
                <w:szCs w:val="22"/>
              </w:rPr>
            </w:pPr>
            <w:hyperlink r:id="rId9" w:history="1">
              <w:r w:rsidR="00C91630" w:rsidRPr="00846CC3">
                <w:rPr>
                  <w:rStyle w:val="Hyperlink"/>
                  <w:rFonts w:ascii="Arial" w:hAnsi="Arial" w:cs="Arial"/>
                  <w:sz w:val="22"/>
                  <w:szCs w:val="22"/>
                </w:rPr>
                <w:t xml:space="preserve">Indicator 13 Facilitated Asynchronous Professional Learning </w:t>
              </w:r>
            </w:hyperlink>
          </w:p>
        </w:tc>
      </w:tr>
      <w:bookmarkEnd w:id="0"/>
      <w:tr w:rsidR="00C91630" w:rsidRPr="00AE7F33" w14:paraId="5E3FB3D6" w14:textId="77777777" w:rsidTr="000B6527">
        <w:trPr>
          <w:trHeight w:val="710"/>
        </w:trPr>
        <w:tc>
          <w:tcPr>
            <w:tcW w:w="2028" w:type="dxa"/>
            <w:tcBorders>
              <w:top w:val="nil"/>
              <w:left w:val="single" w:sz="8" w:space="0" w:color="000000"/>
              <w:bottom w:val="single" w:sz="8" w:space="0" w:color="000000"/>
              <w:right w:val="single" w:sz="8" w:space="0" w:color="000000"/>
            </w:tcBorders>
            <w:shd w:val="clear" w:color="auto" w:fill="FAE2D5" w:themeFill="accent2" w:themeFillTint="33"/>
            <w:tcMar>
              <w:top w:w="100" w:type="dxa"/>
              <w:left w:w="100" w:type="dxa"/>
              <w:bottom w:w="100" w:type="dxa"/>
              <w:right w:w="100" w:type="dxa"/>
            </w:tcMar>
            <w:hideMark/>
          </w:tcPr>
          <w:p w14:paraId="5B31F4AC" w14:textId="77777777" w:rsidR="00AE7F33" w:rsidRPr="00AE7F33" w:rsidRDefault="00AE7F33" w:rsidP="00AE7F33">
            <w:pPr>
              <w:rPr>
                <w:rFonts w:ascii="Arial" w:hAnsi="Arial" w:cs="Arial"/>
                <w:sz w:val="22"/>
                <w:szCs w:val="22"/>
              </w:rPr>
            </w:pPr>
            <w:r w:rsidRPr="00AE7F33">
              <w:rPr>
                <w:rFonts w:ascii="Arial" w:hAnsi="Arial" w:cs="Arial"/>
                <w:b/>
                <w:bCs/>
                <w:sz w:val="22"/>
                <w:szCs w:val="22"/>
              </w:rPr>
              <w:t>Pre-ETS: Employment &amp; Job Exploration Roundtable</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845FE6" w14:textId="77777777" w:rsidR="00AE7F33" w:rsidRPr="00AE7F33" w:rsidRDefault="00AE7F33" w:rsidP="00AE7F33">
            <w:pPr>
              <w:rPr>
                <w:rFonts w:ascii="Arial" w:hAnsi="Arial" w:cs="Arial"/>
                <w:sz w:val="22"/>
                <w:szCs w:val="22"/>
              </w:rPr>
            </w:pPr>
            <w:r w:rsidRPr="00AE7F33">
              <w:rPr>
                <w:rFonts w:ascii="Arial" w:hAnsi="Arial" w:cs="Arial"/>
                <w:sz w:val="22"/>
                <w:szCs w:val="22"/>
              </w:rPr>
              <w:t xml:space="preserve">Learn how best practices in employment and job exploration services can improve outcomes for students with disabilities. In this roundtable, we will explore the key components of building collaborative transition partnerships to improve student employment outcomes. Presenters will demonstrate </w:t>
            </w:r>
            <w:r w:rsidRPr="00AE7F33">
              <w:rPr>
                <w:rFonts w:ascii="Arial" w:hAnsi="Arial" w:cs="Arial"/>
                <w:sz w:val="22"/>
                <w:szCs w:val="22"/>
              </w:rPr>
              <w:lastRenderedPageBreak/>
              <w:t xml:space="preserve">how to deploy job exploration tools that will engage students in </w:t>
            </w:r>
            <w:proofErr w:type="gramStart"/>
            <w:r w:rsidRPr="00AE7F33">
              <w:rPr>
                <w:rFonts w:ascii="Arial" w:hAnsi="Arial" w:cs="Arial"/>
                <w:sz w:val="22"/>
                <w:szCs w:val="22"/>
              </w:rPr>
              <w:t>Pre-ETS</w:t>
            </w:r>
            <w:proofErr w:type="gramEnd"/>
            <w:r w:rsidRPr="00AE7F33">
              <w:rPr>
                <w:rFonts w:ascii="Arial" w:hAnsi="Arial" w:cs="Arial"/>
                <w:sz w:val="22"/>
                <w:szCs w:val="22"/>
              </w:rPr>
              <w:t xml:space="preserve"> activities.</w:t>
            </w:r>
          </w:p>
        </w:tc>
        <w:tc>
          <w:tcPr>
            <w:tcW w:w="1587" w:type="dxa"/>
            <w:tcBorders>
              <w:top w:val="nil"/>
              <w:left w:val="nil"/>
              <w:bottom w:val="single" w:sz="8" w:space="0" w:color="000000"/>
              <w:right w:val="single" w:sz="8" w:space="0" w:color="000000"/>
            </w:tcBorders>
            <w:tcMar>
              <w:top w:w="100" w:type="dxa"/>
              <w:left w:w="100" w:type="dxa"/>
              <w:bottom w:w="100" w:type="dxa"/>
              <w:right w:w="100" w:type="dxa"/>
            </w:tcMar>
            <w:hideMark/>
          </w:tcPr>
          <w:p w14:paraId="3F5FC63C" w14:textId="77777777" w:rsidR="00AE7F33" w:rsidRPr="00AE7F33" w:rsidRDefault="00AE7F33" w:rsidP="00AE7F33">
            <w:pPr>
              <w:rPr>
                <w:rFonts w:ascii="Arial" w:hAnsi="Arial" w:cs="Arial"/>
                <w:sz w:val="22"/>
                <w:szCs w:val="22"/>
              </w:rPr>
            </w:pPr>
            <w:r w:rsidRPr="00AE7F33">
              <w:rPr>
                <w:rFonts w:ascii="Arial" w:hAnsi="Arial" w:cs="Arial"/>
                <w:sz w:val="22"/>
                <w:szCs w:val="22"/>
              </w:rPr>
              <w:lastRenderedPageBreak/>
              <w:t>January 19, 2026 @ 3:30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hideMark/>
          </w:tcPr>
          <w:p w14:paraId="5844B0CE" w14:textId="77777777" w:rsidR="00AE7F33" w:rsidRPr="00AE7F33" w:rsidRDefault="006322D1" w:rsidP="00AE7F33">
            <w:pPr>
              <w:rPr>
                <w:rFonts w:ascii="Arial" w:hAnsi="Arial" w:cs="Arial"/>
                <w:sz w:val="22"/>
                <w:szCs w:val="22"/>
              </w:rPr>
            </w:pPr>
            <w:hyperlink r:id="rId10" w:tgtFrame="_blank" w:history="1">
              <w:r w:rsidR="00AE7F33" w:rsidRPr="00AE7F33">
                <w:rPr>
                  <w:rStyle w:val="Hyperlink"/>
                  <w:rFonts w:ascii="Arial" w:hAnsi="Arial" w:cs="Arial"/>
                  <w:sz w:val="22"/>
                  <w:szCs w:val="22"/>
                </w:rPr>
                <w:t>Registration</w:t>
              </w:r>
            </w:hyperlink>
          </w:p>
        </w:tc>
      </w:tr>
      <w:tr w:rsidR="00C91630" w:rsidRPr="00AE7F33" w14:paraId="14451A3A" w14:textId="77777777" w:rsidTr="00831528">
        <w:trPr>
          <w:trHeight w:val="1430"/>
        </w:trPr>
        <w:tc>
          <w:tcPr>
            <w:tcW w:w="2028" w:type="dxa"/>
            <w:tcBorders>
              <w:top w:val="nil"/>
              <w:left w:val="single" w:sz="8" w:space="0" w:color="000000"/>
              <w:bottom w:val="single" w:sz="8" w:space="0" w:color="000000"/>
              <w:right w:val="single" w:sz="8" w:space="0" w:color="000000"/>
            </w:tcBorders>
            <w:shd w:val="clear" w:color="auto" w:fill="E8E8E8" w:themeFill="background2"/>
            <w:tcMar>
              <w:top w:w="100" w:type="dxa"/>
              <w:left w:w="100" w:type="dxa"/>
              <w:bottom w:w="100" w:type="dxa"/>
              <w:right w:w="100" w:type="dxa"/>
            </w:tcMar>
            <w:hideMark/>
          </w:tcPr>
          <w:p w14:paraId="4CE31340" w14:textId="77777777" w:rsidR="00AE7F33" w:rsidRPr="00AE7F33" w:rsidRDefault="00AE7F33" w:rsidP="00AE7F33">
            <w:pPr>
              <w:rPr>
                <w:rFonts w:ascii="Arial" w:hAnsi="Arial" w:cs="Arial"/>
                <w:sz w:val="22"/>
                <w:szCs w:val="22"/>
              </w:rPr>
            </w:pPr>
            <w:r w:rsidRPr="00AE7F33">
              <w:rPr>
                <w:rFonts w:ascii="Arial" w:hAnsi="Arial" w:cs="Arial"/>
                <w:b/>
                <w:bCs/>
                <w:sz w:val="22"/>
                <w:szCs w:val="22"/>
              </w:rPr>
              <w:t>Pre-ETS: Job Shadowing &amp; Work-Based Learning Roundtable</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hideMark/>
          </w:tcPr>
          <w:p w14:paraId="3E66576A" w14:textId="77777777" w:rsidR="00AE7F33" w:rsidRPr="00AE7F33" w:rsidRDefault="00AE7F33" w:rsidP="00AE7F33">
            <w:pPr>
              <w:rPr>
                <w:rFonts w:ascii="Arial" w:hAnsi="Arial" w:cs="Arial"/>
                <w:sz w:val="22"/>
                <w:szCs w:val="22"/>
              </w:rPr>
            </w:pPr>
            <w:r w:rsidRPr="00AE7F33">
              <w:rPr>
                <w:rFonts w:ascii="Arial" w:hAnsi="Arial" w:cs="Arial"/>
                <w:sz w:val="22"/>
                <w:szCs w:val="22"/>
              </w:rPr>
              <w:t xml:space="preserve">Job shadowing and work-based learning can provide students with real-world experience. Learn </w:t>
            </w:r>
            <w:proofErr w:type="gramStart"/>
            <w:r w:rsidRPr="00AE7F33">
              <w:rPr>
                <w:rFonts w:ascii="Arial" w:hAnsi="Arial" w:cs="Arial"/>
                <w:sz w:val="22"/>
                <w:szCs w:val="22"/>
              </w:rPr>
              <w:t>to  help</w:t>
            </w:r>
            <w:proofErr w:type="gramEnd"/>
            <w:r w:rsidRPr="00AE7F33">
              <w:rPr>
                <w:rFonts w:ascii="Arial" w:hAnsi="Arial" w:cs="Arial"/>
                <w:sz w:val="22"/>
                <w:szCs w:val="22"/>
              </w:rPr>
              <w:t xml:space="preserve"> students identify key skills and workplace expectations through participation in job shadowing and work-based learning opportunities.</w:t>
            </w:r>
          </w:p>
        </w:tc>
        <w:tc>
          <w:tcPr>
            <w:tcW w:w="1587" w:type="dxa"/>
            <w:tcBorders>
              <w:top w:val="nil"/>
              <w:left w:val="nil"/>
              <w:bottom w:val="single" w:sz="8" w:space="0" w:color="000000"/>
              <w:right w:val="single" w:sz="8" w:space="0" w:color="000000"/>
            </w:tcBorders>
            <w:tcMar>
              <w:top w:w="100" w:type="dxa"/>
              <w:left w:w="100" w:type="dxa"/>
              <w:bottom w:w="100" w:type="dxa"/>
              <w:right w:w="100" w:type="dxa"/>
            </w:tcMar>
            <w:hideMark/>
          </w:tcPr>
          <w:p w14:paraId="77345D30" w14:textId="77777777" w:rsidR="00AE7F33" w:rsidRPr="00AE7F33" w:rsidRDefault="00AE7F33" w:rsidP="00AE7F33">
            <w:pPr>
              <w:rPr>
                <w:rFonts w:ascii="Arial" w:hAnsi="Arial" w:cs="Arial"/>
                <w:sz w:val="22"/>
                <w:szCs w:val="22"/>
              </w:rPr>
            </w:pPr>
            <w:r w:rsidRPr="00AE7F33">
              <w:rPr>
                <w:rFonts w:ascii="Arial" w:hAnsi="Arial" w:cs="Arial"/>
                <w:sz w:val="22"/>
                <w:szCs w:val="22"/>
              </w:rPr>
              <w:t>February 5th @ 8:30</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hideMark/>
          </w:tcPr>
          <w:p w14:paraId="2EE7F8EB" w14:textId="77777777" w:rsidR="00AE7F33" w:rsidRPr="00AE7F33" w:rsidRDefault="006322D1" w:rsidP="00AE7F33">
            <w:pPr>
              <w:rPr>
                <w:rFonts w:ascii="Arial" w:hAnsi="Arial" w:cs="Arial"/>
                <w:sz w:val="22"/>
                <w:szCs w:val="22"/>
              </w:rPr>
            </w:pPr>
            <w:hyperlink r:id="rId11" w:tgtFrame="_blank" w:history="1">
              <w:r w:rsidR="00AE7F33" w:rsidRPr="00AE7F33">
                <w:rPr>
                  <w:rStyle w:val="Hyperlink"/>
                  <w:rFonts w:ascii="Arial" w:hAnsi="Arial" w:cs="Arial"/>
                  <w:sz w:val="22"/>
                  <w:szCs w:val="22"/>
                </w:rPr>
                <w:t>Registration</w:t>
              </w:r>
            </w:hyperlink>
          </w:p>
        </w:tc>
      </w:tr>
      <w:tr w:rsidR="00C91630" w:rsidRPr="00AE7F33" w14:paraId="14767EB6" w14:textId="77777777" w:rsidTr="00831528">
        <w:trPr>
          <w:trHeight w:val="2685"/>
        </w:trPr>
        <w:tc>
          <w:tcPr>
            <w:tcW w:w="2028" w:type="dxa"/>
            <w:tcBorders>
              <w:top w:val="nil"/>
              <w:left w:val="single" w:sz="8" w:space="0" w:color="000000"/>
              <w:bottom w:val="single" w:sz="8" w:space="0" w:color="000000"/>
              <w:right w:val="single" w:sz="8" w:space="0" w:color="000000"/>
            </w:tcBorders>
            <w:shd w:val="clear" w:color="auto" w:fill="D9F2D0" w:themeFill="accent6" w:themeFillTint="33"/>
            <w:tcMar>
              <w:top w:w="100" w:type="dxa"/>
              <w:left w:w="100" w:type="dxa"/>
              <w:bottom w:w="100" w:type="dxa"/>
              <w:right w:w="100" w:type="dxa"/>
            </w:tcMar>
            <w:hideMark/>
          </w:tcPr>
          <w:p w14:paraId="3A0BE828" w14:textId="77777777" w:rsidR="00AE7F33" w:rsidRPr="00AE7F33" w:rsidRDefault="00AE7F33" w:rsidP="00AE7F33">
            <w:pPr>
              <w:rPr>
                <w:rFonts w:ascii="Arial" w:hAnsi="Arial" w:cs="Arial"/>
                <w:sz w:val="22"/>
                <w:szCs w:val="22"/>
              </w:rPr>
            </w:pPr>
            <w:r w:rsidRPr="00AE7F33">
              <w:rPr>
                <w:rFonts w:ascii="Arial" w:hAnsi="Arial" w:cs="Arial"/>
                <w:b/>
                <w:bCs/>
                <w:sz w:val="22"/>
                <w:szCs w:val="22"/>
              </w:rPr>
              <w:t>Pre-ETS: Transition Planning Roundtable</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D60C23" w14:textId="77777777" w:rsidR="00AE7F33" w:rsidRPr="00AE7F33" w:rsidRDefault="00AE7F33" w:rsidP="00AE7F33">
            <w:pPr>
              <w:rPr>
                <w:rFonts w:ascii="Arial" w:hAnsi="Arial" w:cs="Arial"/>
                <w:sz w:val="22"/>
                <w:szCs w:val="22"/>
              </w:rPr>
            </w:pPr>
            <w:r w:rsidRPr="00AE7F33">
              <w:rPr>
                <w:rFonts w:ascii="Arial" w:hAnsi="Arial" w:cs="Arial"/>
                <w:sz w:val="22"/>
                <w:szCs w:val="22"/>
              </w:rPr>
              <w:t>Learn how to use transition assessments to shape students’ futures. Together, we will explore how meaningful, student-centered assessment data can inform postsecondary goals and help students achieve success in education, employment, training, and independent living.</w:t>
            </w:r>
          </w:p>
        </w:tc>
        <w:tc>
          <w:tcPr>
            <w:tcW w:w="1587" w:type="dxa"/>
            <w:tcBorders>
              <w:top w:val="nil"/>
              <w:left w:val="nil"/>
              <w:bottom w:val="single" w:sz="8" w:space="0" w:color="000000"/>
              <w:right w:val="single" w:sz="8" w:space="0" w:color="000000"/>
            </w:tcBorders>
            <w:tcMar>
              <w:top w:w="100" w:type="dxa"/>
              <w:left w:w="100" w:type="dxa"/>
              <w:bottom w:w="100" w:type="dxa"/>
              <w:right w:w="100" w:type="dxa"/>
            </w:tcMar>
            <w:hideMark/>
          </w:tcPr>
          <w:p w14:paraId="2F9C911A" w14:textId="77777777" w:rsidR="00AE7F33" w:rsidRPr="00AE7F33" w:rsidRDefault="00AE7F33" w:rsidP="00AE7F33">
            <w:pPr>
              <w:rPr>
                <w:rFonts w:ascii="Arial" w:hAnsi="Arial" w:cs="Arial"/>
                <w:sz w:val="22"/>
                <w:szCs w:val="22"/>
              </w:rPr>
            </w:pPr>
            <w:r w:rsidRPr="00AE7F33">
              <w:rPr>
                <w:rFonts w:ascii="Arial" w:hAnsi="Arial" w:cs="Arial"/>
                <w:sz w:val="22"/>
                <w:szCs w:val="22"/>
              </w:rPr>
              <w:t>March 10, 2026 @ 4:00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hideMark/>
          </w:tcPr>
          <w:p w14:paraId="24776BFD" w14:textId="77777777" w:rsidR="00AE7F33" w:rsidRPr="00AE7F33" w:rsidRDefault="006322D1" w:rsidP="00AE7F33">
            <w:pPr>
              <w:rPr>
                <w:rFonts w:ascii="Arial" w:hAnsi="Arial" w:cs="Arial"/>
                <w:sz w:val="22"/>
                <w:szCs w:val="22"/>
              </w:rPr>
            </w:pPr>
            <w:hyperlink r:id="rId12" w:tgtFrame="_blank" w:history="1">
              <w:r w:rsidR="00AE7F33" w:rsidRPr="00AE7F33">
                <w:rPr>
                  <w:rStyle w:val="Hyperlink"/>
                  <w:rFonts w:ascii="Arial" w:hAnsi="Arial" w:cs="Arial"/>
                  <w:sz w:val="22"/>
                  <w:szCs w:val="22"/>
                </w:rPr>
                <w:t>Registration</w:t>
              </w:r>
            </w:hyperlink>
          </w:p>
        </w:tc>
      </w:tr>
      <w:tr w:rsidR="00C91630" w:rsidRPr="00AE7F33" w14:paraId="4514CAA1" w14:textId="77777777" w:rsidTr="00831528">
        <w:trPr>
          <w:trHeight w:val="2415"/>
        </w:trPr>
        <w:tc>
          <w:tcPr>
            <w:tcW w:w="2028" w:type="dxa"/>
            <w:tcBorders>
              <w:top w:val="nil"/>
              <w:left w:val="single" w:sz="8" w:space="0" w:color="000000"/>
              <w:bottom w:val="single" w:sz="8" w:space="0" w:color="000000"/>
              <w:right w:val="single" w:sz="8" w:space="0" w:color="000000"/>
            </w:tcBorders>
            <w:shd w:val="clear" w:color="auto" w:fill="DAE9F7" w:themeFill="text2" w:themeFillTint="1A"/>
            <w:tcMar>
              <w:top w:w="100" w:type="dxa"/>
              <w:left w:w="100" w:type="dxa"/>
              <w:bottom w:w="100" w:type="dxa"/>
              <w:right w:w="100" w:type="dxa"/>
            </w:tcMar>
            <w:hideMark/>
          </w:tcPr>
          <w:p w14:paraId="20E7CFA1" w14:textId="77777777" w:rsidR="00AE7F33" w:rsidRPr="00AE7F33" w:rsidRDefault="00AE7F33" w:rsidP="00AE7F33">
            <w:pPr>
              <w:rPr>
                <w:rFonts w:ascii="Arial" w:hAnsi="Arial" w:cs="Arial"/>
                <w:sz w:val="22"/>
                <w:szCs w:val="22"/>
              </w:rPr>
            </w:pPr>
            <w:r w:rsidRPr="00AE7F33">
              <w:rPr>
                <w:rFonts w:ascii="Arial" w:hAnsi="Arial" w:cs="Arial"/>
                <w:b/>
                <w:bCs/>
                <w:sz w:val="22"/>
                <w:szCs w:val="22"/>
              </w:rPr>
              <w:t>Pre-ETS 21st Century Workplace Readiness Skills</w:t>
            </w:r>
          </w:p>
        </w:tc>
        <w:tc>
          <w:tcPr>
            <w:tcW w:w="5385" w:type="dxa"/>
            <w:tcBorders>
              <w:top w:val="nil"/>
              <w:left w:val="nil"/>
              <w:bottom w:val="single" w:sz="8" w:space="0" w:color="000000"/>
              <w:right w:val="single" w:sz="8" w:space="0" w:color="000000"/>
            </w:tcBorders>
            <w:tcMar>
              <w:top w:w="100" w:type="dxa"/>
              <w:left w:w="100" w:type="dxa"/>
              <w:bottom w:w="100" w:type="dxa"/>
              <w:right w:w="100" w:type="dxa"/>
            </w:tcMar>
            <w:hideMark/>
          </w:tcPr>
          <w:p w14:paraId="78152036" w14:textId="77777777" w:rsidR="00AE7F33" w:rsidRPr="00AE7F33" w:rsidRDefault="00AE7F33" w:rsidP="00AE7F33">
            <w:pPr>
              <w:rPr>
                <w:rFonts w:ascii="Arial" w:hAnsi="Arial" w:cs="Arial"/>
                <w:sz w:val="22"/>
                <w:szCs w:val="22"/>
              </w:rPr>
            </w:pPr>
            <w:r w:rsidRPr="00AE7F33">
              <w:rPr>
                <w:rFonts w:ascii="Arial" w:hAnsi="Arial" w:cs="Arial"/>
                <w:sz w:val="22"/>
                <w:szCs w:val="22"/>
              </w:rPr>
              <w:t xml:space="preserve">Do you want to learn how to provide 21st Century Workplace Readiness Skills to students with disabilities? These skills include collaboration, communication, and critical thinking. Join us as we learn how to incorporate these skills into </w:t>
            </w:r>
            <w:proofErr w:type="gramStart"/>
            <w:r w:rsidRPr="00AE7F33">
              <w:rPr>
                <w:rFonts w:ascii="Arial" w:hAnsi="Arial" w:cs="Arial"/>
                <w:sz w:val="22"/>
                <w:szCs w:val="22"/>
              </w:rPr>
              <w:t>Pre-ETS</w:t>
            </w:r>
            <w:proofErr w:type="gramEnd"/>
            <w:r w:rsidRPr="00AE7F33">
              <w:rPr>
                <w:rFonts w:ascii="Arial" w:hAnsi="Arial" w:cs="Arial"/>
                <w:sz w:val="22"/>
                <w:szCs w:val="22"/>
              </w:rPr>
              <w:t xml:space="preserve"> activities and IEP goals.</w:t>
            </w:r>
          </w:p>
        </w:tc>
        <w:tc>
          <w:tcPr>
            <w:tcW w:w="1587" w:type="dxa"/>
            <w:tcBorders>
              <w:top w:val="nil"/>
              <w:left w:val="nil"/>
              <w:bottom w:val="single" w:sz="8" w:space="0" w:color="000000"/>
              <w:right w:val="single" w:sz="8" w:space="0" w:color="000000"/>
            </w:tcBorders>
            <w:tcMar>
              <w:top w:w="100" w:type="dxa"/>
              <w:left w:w="100" w:type="dxa"/>
              <w:bottom w:w="100" w:type="dxa"/>
              <w:right w:w="100" w:type="dxa"/>
            </w:tcMar>
            <w:hideMark/>
          </w:tcPr>
          <w:p w14:paraId="5D81B7D1" w14:textId="77777777" w:rsidR="00AE7F33" w:rsidRPr="00AE7F33" w:rsidRDefault="00AE7F33" w:rsidP="00AE7F33">
            <w:pPr>
              <w:rPr>
                <w:rFonts w:ascii="Arial" w:hAnsi="Arial" w:cs="Arial"/>
                <w:sz w:val="22"/>
                <w:szCs w:val="22"/>
              </w:rPr>
            </w:pPr>
            <w:r w:rsidRPr="00AE7F33">
              <w:rPr>
                <w:rFonts w:ascii="Arial" w:hAnsi="Arial" w:cs="Arial"/>
                <w:sz w:val="22"/>
                <w:szCs w:val="22"/>
              </w:rPr>
              <w:t>April 15, 2026 @ 8:30</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hideMark/>
          </w:tcPr>
          <w:p w14:paraId="5475C509" w14:textId="77777777" w:rsidR="00AE7F33" w:rsidRPr="00AE7F33" w:rsidRDefault="006322D1" w:rsidP="00AE7F33">
            <w:pPr>
              <w:rPr>
                <w:rFonts w:ascii="Arial" w:hAnsi="Arial" w:cs="Arial"/>
                <w:sz w:val="22"/>
                <w:szCs w:val="22"/>
              </w:rPr>
            </w:pPr>
            <w:hyperlink r:id="rId13" w:tgtFrame="_blank" w:history="1">
              <w:r w:rsidR="00AE7F33" w:rsidRPr="00AE7F33">
                <w:rPr>
                  <w:rStyle w:val="Hyperlink"/>
                  <w:rFonts w:ascii="Arial" w:hAnsi="Arial" w:cs="Arial"/>
                  <w:sz w:val="22"/>
                  <w:szCs w:val="22"/>
                </w:rPr>
                <w:t>Registration</w:t>
              </w:r>
            </w:hyperlink>
          </w:p>
        </w:tc>
      </w:tr>
    </w:tbl>
    <w:bookmarkEnd w:id="1"/>
    <w:p w14:paraId="49AE4C98" w14:textId="77777777" w:rsidR="00AE7F33" w:rsidRPr="00AE7F33" w:rsidRDefault="00AE7F33" w:rsidP="00AE7F33">
      <w:r w:rsidRPr="00AE7F33">
        <w:t> </w:t>
      </w:r>
    </w:p>
    <w:p w14:paraId="72318944" w14:textId="77777777" w:rsidR="00AE7F33" w:rsidRDefault="00AE7F33"/>
    <w:sectPr w:rsidR="00AE7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82563"/>
    <w:multiLevelType w:val="hybridMultilevel"/>
    <w:tmpl w:val="05DC4AA2"/>
    <w:lvl w:ilvl="0" w:tplc="D2A6D726">
      <w:start w:val="1"/>
      <w:numFmt w:val="bullet"/>
      <w:lvlText w:val=""/>
      <w:lvlJc w:val="righ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770EC6"/>
    <w:multiLevelType w:val="hybridMultilevel"/>
    <w:tmpl w:val="D9566C6C"/>
    <w:lvl w:ilvl="0" w:tplc="D2A6D726">
      <w:start w:val="1"/>
      <w:numFmt w:val="bullet"/>
      <w:lvlText w:val=""/>
      <w:lvlJc w:val="righ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33"/>
    <w:rsid w:val="000B6527"/>
    <w:rsid w:val="00291229"/>
    <w:rsid w:val="006322D1"/>
    <w:rsid w:val="00710FE3"/>
    <w:rsid w:val="00831528"/>
    <w:rsid w:val="00846CC3"/>
    <w:rsid w:val="00931E17"/>
    <w:rsid w:val="009C7F48"/>
    <w:rsid w:val="00AE7F33"/>
    <w:rsid w:val="00BC3CE9"/>
    <w:rsid w:val="00C91630"/>
    <w:rsid w:val="00CF7A71"/>
    <w:rsid w:val="00D3577A"/>
    <w:rsid w:val="00D50359"/>
    <w:rsid w:val="00F10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5B7A"/>
  <w15:chartTrackingRefBased/>
  <w15:docId w15:val="{3084E411-EFEF-4F29-83CF-09427A8C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F33"/>
    <w:rPr>
      <w:rFonts w:eastAsiaTheme="majorEastAsia" w:cstheme="majorBidi"/>
      <w:color w:val="272727" w:themeColor="text1" w:themeTint="D8"/>
    </w:rPr>
  </w:style>
  <w:style w:type="paragraph" w:styleId="Title">
    <w:name w:val="Title"/>
    <w:basedOn w:val="Normal"/>
    <w:next w:val="Normal"/>
    <w:link w:val="TitleChar"/>
    <w:uiPriority w:val="10"/>
    <w:qFormat/>
    <w:rsid w:val="00AE7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F33"/>
    <w:pPr>
      <w:spacing w:before="160"/>
      <w:jc w:val="center"/>
    </w:pPr>
    <w:rPr>
      <w:i/>
      <w:iCs/>
      <w:color w:val="404040" w:themeColor="text1" w:themeTint="BF"/>
    </w:rPr>
  </w:style>
  <w:style w:type="character" w:customStyle="1" w:styleId="QuoteChar">
    <w:name w:val="Quote Char"/>
    <w:basedOn w:val="DefaultParagraphFont"/>
    <w:link w:val="Quote"/>
    <w:uiPriority w:val="29"/>
    <w:rsid w:val="00AE7F33"/>
    <w:rPr>
      <w:i/>
      <w:iCs/>
      <w:color w:val="404040" w:themeColor="text1" w:themeTint="BF"/>
    </w:rPr>
  </w:style>
  <w:style w:type="paragraph" w:styleId="ListParagraph">
    <w:name w:val="List Paragraph"/>
    <w:basedOn w:val="Normal"/>
    <w:uiPriority w:val="34"/>
    <w:qFormat/>
    <w:rsid w:val="00AE7F33"/>
    <w:pPr>
      <w:ind w:left="720"/>
      <w:contextualSpacing/>
    </w:pPr>
  </w:style>
  <w:style w:type="character" w:styleId="IntenseEmphasis">
    <w:name w:val="Intense Emphasis"/>
    <w:basedOn w:val="DefaultParagraphFont"/>
    <w:uiPriority w:val="21"/>
    <w:qFormat/>
    <w:rsid w:val="00AE7F33"/>
    <w:rPr>
      <w:i/>
      <w:iCs/>
      <w:color w:val="0F4761" w:themeColor="accent1" w:themeShade="BF"/>
    </w:rPr>
  </w:style>
  <w:style w:type="paragraph" w:styleId="IntenseQuote">
    <w:name w:val="Intense Quote"/>
    <w:basedOn w:val="Normal"/>
    <w:next w:val="Normal"/>
    <w:link w:val="IntenseQuoteChar"/>
    <w:uiPriority w:val="30"/>
    <w:qFormat/>
    <w:rsid w:val="00AE7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F33"/>
    <w:rPr>
      <w:i/>
      <w:iCs/>
      <w:color w:val="0F4761" w:themeColor="accent1" w:themeShade="BF"/>
    </w:rPr>
  </w:style>
  <w:style w:type="character" w:styleId="IntenseReference">
    <w:name w:val="Intense Reference"/>
    <w:basedOn w:val="DefaultParagraphFont"/>
    <w:uiPriority w:val="32"/>
    <w:qFormat/>
    <w:rsid w:val="00AE7F33"/>
    <w:rPr>
      <w:b/>
      <w:bCs/>
      <w:smallCaps/>
      <w:color w:val="0F4761" w:themeColor="accent1" w:themeShade="BF"/>
      <w:spacing w:val="5"/>
    </w:rPr>
  </w:style>
  <w:style w:type="character" w:styleId="Hyperlink">
    <w:name w:val="Hyperlink"/>
    <w:basedOn w:val="DefaultParagraphFont"/>
    <w:uiPriority w:val="99"/>
    <w:unhideWhenUsed/>
    <w:rsid w:val="00AE7F33"/>
    <w:rPr>
      <w:color w:val="467886" w:themeColor="hyperlink"/>
      <w:u w:val="single"/>
    </w:rPr>
  </w:style>
  <w:style w:type="character" w:styleId="UnresolvedMention">
    <w:name w:val="Unresolved Mention"/>
    <w:basedOn w:val="DefaultParagraphFont"/>
    <w:uiPriority w:val="99"/>
    <w:semiHidden/>
    <w:unhideWhenUsed/>
    <w:rsid w:val="00AE7F33"/>
    <w:rPr>
      <w:color w:val="605E5C"/>
      <w:shd w:val="clear" w:color="auto" w:fill="E1DFDD"/>
    </w:rPr>
  </w:style>
  <w:style w:type="character" w:styleId="Strong">
    <w:name w:val="Strong"/>
    <w:basedOn w:val="DefaultParagraphFont"/>
    <w:uiPriority w:val="22"/>
    <w:qFormat/>
    <w:rsid w:val="00D503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web.cisco.com/1vo6af_puDetTZ8PC7mM8NeEb1rIgeGYFEsIB71sga744UWnMuv4Zf16qhA_Fgm4FY6Q87kyR1kKww4Tkjmjs9V228bykOxgAcVBo4LdRN_DLkfGawJMrNUVlGZpl0eUONMZ7X2kEYWBS3HKS5bXGX5vens7C_w5CHqDyNtnMPortbYtPaH0huyCIR3Kcl-T4D10OarKW2-vOH8nr41lrgQUBUwRZOtLhBCS94h2n51AAlZtFjGu9kIfTDULgh49rjsr9xwuEcVREzToglNOjh4kE8N5stJEIM4vGhxqAsgFJqO5b37c-qV9Zdd50ashNyOnuu1_Fzl9sbGiAE3ksZ1cjg4Z1DMD1qSp_XZhGERr2DYGiwLmJhv5dN2MqcGIH8VocGca92vQmNqawabBj7OTu1wrVqnxrGO6ERqz4SnA/https%3A%2F%2Fpreets.vcurrtc.org%2Fresources%2Fwebcasts%2Fregister.cfm%3Fwebcast%3D1765" TargetMode="External"/><Relationship Id="rId13" Type="http://schemas.openxmlformats.org/officeDocument/2006/relationships/hyperlink" Target="https://secure-web.cisco.com/1IlYb9Z49jaG0Ld-fmyeFHZBHGwCiQNebcFVWlaDhBi3uHvlbd4v5-1y1Vu6ix2hEG9fRT5FrbudnUDrwh0hAs-jgL0krNVHpaj-v0ZE4e2wUWkEkVKn4Zp3qDFIpyea8P2tDZpYYYKBt2kFSL2dilDv2VhYD5l7pVTr2OSjBiF9uDvrF3K2L5vfeVcWlZMWKrIb0htuzcDgZqyhi6lB_Y2OM5ezI78Ty5xmcWrUL2SKlrmxHoHfd5I-hO31M6FRdlPUyxETZ61TtZV-RN0daz9gdIb2v9-05tyE5wk6gZCZtnXyUbpunXTeCV8mmHgMmm4DsbH1CS2Pr7-YdpbRsDHtnfQpdw2TTLXRB5u1dHD1nPzZSGK0XM1QKTiG4LjSruVnnDlatAr5Ggr2onYEvwv6BBOhNeG465dzWCGifoCI/https%3A%2F%2Fpreets.vcurrtc.org%2Fresources%2Fwebcasts%2Fregister.cfm%3Fwebcast%3D1769" TargetMode="External"/><Relationship Id="rId3" Type="http://schemas.openxmlformats.org/officeDocument/2006/relationships/styles" Target="styles.xml"/><Relationship Id="rId7" Type="http://schemas.openxmlformats.org/officeDocument/2006/relationships/hyperlink" Target="https://forms.office.com/r/tm70YfaXEk" TargetMode="External"/><Relationship Id="rId12" Type="http://schemas.openxmlformats.org/officeDocument/2006/relationships/hyperlink" Target="https://secure-web.cisco.com/1gW8T8KOYzEMF1U82GaS2cZmSb8c1EQamePtaiopv5basirUS4Xy5X9bft3rrsbA0IHNS1cGJv4ACW9H55qWmlrlH9HGY_kaCJq-67LkkonOF5lyY6osxl0o2S08aBwPSoS1j_U_P-Fkkfy4hlua-VIHfwbYV_aogMpg4iTA9chNNLoiBSWo6RUzZPWp_DyQ_VQr1iG0-3hxeR4-AMApSJ5tTPJ0sAHP441VyCZfhx8blHz-kwiwBdOkhLDUlQDkGzZGc3kjS5WshvIyGSZ2yCYSWZ0qEK2o1RTpnO8bgm9TkotaJ9n-uhsX7lxKRNqVVXQklHHYZiMugwSK9ZWytIZw8P4YudVlKGM4m4nCZJREivvDnatx06IZbxahbxXKZXLQHl37nw4h0aMrp_6N7kEwepVqwD4BFWjeHRjB3vm0/https%3A%2F%2Fpreets.vcurrtc.org%2Fresources%2Fwebcasts%2Fregister.cfm%3Fwebcast%3D17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office.com/r/sYMQj6XJn6" TargetMode="External"/><Relationship Id="rId11" Type="http://schemas.openxmlformats.org/officeDocument/2006/relationships/hyperlink" Target="https://secure-web.cisco.com/1NP9sjhfQs9EAexePaaW3DxfNlZLlCgVVEyZSXzCEwtlxYRtTIh9yVQI-gcfCV2050Z_VHQFfzGErO2QFmGkMZ0ac-EdfguppvgeBqd9IsAtinhZJENeApRs6EFAYFZfSlg-sxVgkaVs7UOFlzOyfPhj1nyjxSRsenxrWFjl5skjA-v8FSTDtOzTT_dqE10YmGO8xwx0fpeJDaZvDQyFdIF526B8m0vBytR0OnqboGimK4D-niYJbwoqaBLNRVJ59oGo-erKet1RKmNquawJ8Ijodbfvj3dFcaW61S-4z5H6XF0Xvle6Bzk-WwB5WmHxVjufQSYjwlT2QM3KEd2XEs6Z1ZaQjKvTAz5aZ76u2HoJqE66R-4YZ3Erl-7AoH62Okh-cnl65huoNDPFmBfSXa3caetrGKiXTy9Zbd8sQ8FU/https%3A%2F%2Fpreets.vcurrtc.org%2Fresources%2Fwebcasts%2Fregister.cfm%3Fwebcast%3D17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ecure-web.cisco.com/1xNoDwPI8O1zXpKxU9l9EELAAFCwxjv194q0vGRcexgC9SOiw738ikZgJesZQ3JlgF_l2bTrh82Wu5agvFYq-lJVF7g5mH0C31AtRKm9bQ0zmR4fx9rTGM-LlTy14RW07h9faA97ZFF04SvhjSTOiBrCOXTPkF7deKeHxjeFE7RhqahOdNUgGSJ1019AHwEaie3N3_qZPU6lrSfyU5u3V-Q0bnT00F6ptphBctd19aCop2ElM62O0oM-px6XtFMd-6CeaxkeoJyFlfEckqNZDXrFbF87olytJF6ELA-aUbwKP2b-3z6UKcSbKSgykCOf_ASuWk5Jt5vthlp9CP01cqTWb6GUxwWjferSZtTQNN8XdA1BAWloYt6ylYmjGglF-LVud7YXCwm5jigNeGC9HuipTPp2sktq3uB0Wak4ywsc/https%3A%2F%2Fpreets.vcurrtc.org%2Fresources%2Fwebcasts%2Fregister.cfm%3Fwebcast%3D1766" TargetMode="External"/><Relationship Id="rId4" Type="http://schemas.openxmlformats.org/officeDocument/2006/relationships/settings" Target="settings.xml"/><Relationship Id="rId9" Type="http://schemas.openxmlformats.org/officeDocument/2006/relationships/hyperlink" Target="https://forms.office.com/r/QPZivW67Z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17967-24CD-47FF-AC13-54EF6307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Creighton Martin</dc:creator>
  <cp:keywords/>
  <dc:description/>
  <cp:lastModifiedBy>Megan D Thompson</cp:lastModifiedBy>
  <cp:revision>2</cp:revision>
  <dcterms:created xsi:type="dcterms:W3CDTF">2025-10-22T17:04:00Z</dcterms:created>
  <dcterms:modified xsi:type="dcterms:W3CDTF">2025-10-22T17:04:00Z</dcterms:modified>
</cp:coreProperties>
</file>